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2D" w:rsidRPr="009D3429" w:rsidRDefault="00B2492D" w:rsidP="00E72AE7">
      <w:pPr>
        <w:widowControl w:val="0"/>
        <w:spacing w:before="100" w:beforeAutospacing="1" w:after="100" w:afterAutospacing="1" w:line="360" w:lineRule="auto"/>
        <w:ind w:right="-164"/>
        <w:jc w:val="both"/>
        <w:rPr>
          <w:rFonts w:ascii="Palatino Linotype" w:eastAsia="Calibri" w:hAnsi="Palatino Linotype" w:cs="Arial"/>
          <w:b/>
          <w:color w:val="000000"/>
        </w:rPr>
      </w:pPr>
      <w:r w:rsidRPr="009D3429">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C108DB">
        <w:rPr>
          <w:rFonts w:ascii="Palatino Linotype" w:hAnsi="Palatino Linotype" w:cs="Arial"/>
          <w:b/>
        </w:rPr>
        <w:t>O</w:t>
      </w:r>
      <w:r w:rsidR="00AB5EE1">
        <w:rPr>
          <w:rFonts w:ascii="Palatino Linotype" w:hAnsi="Palatino Linotype" w:cs="Arial"/>
          <w:b/>
        </w:rPr>
        <w:t xml:space="preserve"> DE MÉXICO Y MUNICIPIOS, EN LA SEXTA </w:t>
      </w:r>
      <w:r w:rsidRPr="009D3429">
        <w:rPr>
          <w:rFonts w:ascii="Palatino Linotype" w:hAnsi="Palatino Linotype" w:cs="Arial"/>
          <w:b/>
        </w:rPr>
        <w:t>SESIÓN ORDINARIA DE</w:t>
      </w:r>
      <w:r w:rsidR="00F734A6">
        <w:rPr>
          <w:rFonts w:ascii="Palatino Linotype" w:hAnsi="Palatino Linotype" w:cs="Arial"/>
          <w:b/>
        </w:rPr>
        <w:t xml:space="preserve"> </w:t>
      </w:r>
      <w:r w:rsidR="00AB5EE1">
        <w:rPr>
          <w:rFonts w:ascii="Palatino Linotype" w:hAnsi="Palatino Linotype" w:cs="Arial"/>
          <w:b/>
        </w:rPr>
        <w:t xml:space="preserve">TRECE </w:t>
      </w:r>
      <w:r w:rsidR="0055481B">
        <w:rPr>
          <w:rFonts w:ascii="Palatino Linotype" w:hAnsi="Palatino Linotype" w:cs="Arial"/>
          <w:b/>
        </w:rPr>
        <w:t xml:space="preserve">DE </w:t>
      </w:r>
      <w:r w:rsidR="00AB5EE1">
        <w:rPr>
          <w:rFonts w:ascii="Palatino Linotype" w:hAnsi="Palatino Linotype" w:cs="Arial"/>
          <w:b/>
        </w:rPr>
        <w:t xml:space="preserve">FEBRERO </w:t>
      </w:r>
      <w:r w:rsidR="00C108DB">
        <w:rPr>
          <w:rFonts w:ascii="Palatino Linotype" w:hAnsi="Palatino Linotype" w:cs="Arial"/>
          <w:b/>
        </w:rPr>
        <w:t>DE DOS MIL DIECINUEVE</w:t>
      </w:r>
      <w:r w:rsidR="00AB5EE1">
        <w:rPr>
          <w:rFonts w:ascii="Palatino Linotype" w:hAnsi="Palatino Linotype" w:cs="Arial"/>
          <w:b/>
        </w:rPr>
        <w:t xml:space="preserve">, EN </w:t>
      </w:r>
      <w:r w:rsidRPr="009D3429">
        <w:rPr>
          <w:rFonts w:ascii="Palatino Linotype" w:hAnsi="Palatino Linotype" w:cs="Arial"/>
          <w:b/>
        </w:rPr>
        <w:t>L</w:t>
      </w:r>
      <w:r w:rsidR="00AB5EE1">
        <w:rPr>
          <w:rFonts w:ascii="Palatino Linotype" w:hAnsi="Palatino Linotype" w:cs="Arial"/>
          <w:b/>
        </w:rPr>
        <w:t>OS</w:t>
      </w:r>
      <w:r w:rsidRPr="009D3429">
        <w:rPr>
          <w:rFonts w:ascii="Palatino Linotype" w:hAnsi="Palatino Linotype" w:cs="Arial"/>
          <w:b/>
        </w:rPr>
        <w:t xml:space="preserve"> RECURSO</w:t>
      </w:r>
      <w:r w:rsidR="00AB5EE1">
        <w:rPr>
          <w:rFonts w:ascii="Palatino Linotype" w:hAnsi="Palatino Linotype" w:cs="Arial"/>
          <w:b/>
        </w:rPr>
        <w:t>S</w:t>
      </w:r>
      <w:r w:rsidRPr="009D3429">
        <w:rPr>
          <w:rFonts w:ascii="Palatino Linotype" w:hAnsi="Palatino Linotype" w:cs="Arial"/>
          <w:b/>
        </w:rPr>
        <w:t xml:space="preserve"> DE REVISIÓN </w:t>
      </w:r>
      <w:r w:rsidR="00AB5EE1" w:rsidRPr="00AB5EE1">
        <w:rPr>
          <w:rFonts w:ascii="Palatino Linotype" w:eastAsia="Calibri" w:hAnsi="Palatino Linotype" w:cs="Arial"/>
          <w:b/>
          <w:color w:val="000000"/>
        </w:rPr>
        <w:t xml:space="preserve">04426/INFOEM/IP/RR/2018, 04427/INFOEM/IP/RR/2018, 04428/INFOEM/IP/RR/2018, 04429/INFOEM/IP/RR/2018, 04430/INFOEM/IP/RR/2018, 04431/INFOEM/IP/RR/2018, 04432/INFOEM/IP/RR/2018, 04433/INFOEM/IP/RR/2018, 04434/INFOEM/IP/RR/2018, 04435/INFOEM/IP/RR/2018, 04436/INFOEM/IP/RR/2018, 04437/INFOEM/IP/RR/2018, 04438/INFOEM/IP/RR/2018 </w:t>
      </w:r>
      <w:r w:rsidR="0062438D" w:rsidRPr="00AB5EE1">
        <w:rPr>
          <w:rFonts w:ascii="Palatino Linotype" w:eastAsia="Calibri" w:hAnsi="Palatino Linotype" w:cs="Arial"/>
          <w:b/>
          <w:color w:val="000000"/>
        </w:rPr>
        <w:t>Y</w:t>
      </w:r>
      <w:r w:rsidR="00AB5EE1" w:rsidRPr="00AB5EE1">
        <w:rPr>
          <w:rFonts w:ascii="Palatino Linotype" w:eastAsia="Calibri" w:hAnsi="Palatino Linotype" w:cs="Arial"/>
          <w:b/>
          <w:color w:val="000000"/>
        </w:rPr>
        <w:t xml:space="preserve"> 04439/INFOEM/IP/RR/2018</w:t>
      </w:r>
      <w:r w:rsidR="00AB5EE1">
        <w:rPr>
          <w:rFonts w:ascii="Palatino Linotype" w:eastAsia="Calibri" w:hAnsi="Palatino Linotype" w:cs="Arial"/>
          <w:b/>
          <w:color w:val="000000"/>
        </w:rPr>
        <w:t xml:space="preserve"> ACUMULADOS</w:t>
      </w:r>
      <w:r w:rsidRPr="009D3429">
        <w:rPr>
          <w:rFonts w:ascii="Palatino Linotype" w:eastAsia="Calibri" w:hAnsi="Palatino Linotype" w:cs="Arial"/>
          <w:b/>
          <w:color w:val="000000"/>
        </w:rPr>
        <w:t>.</w:t>
      </w:r>
    </w:p>
    <w:p w:rsidR="00B2492D" w:rsidRPr="009D3429" w:rsidRDefault="00B2492D" w:rsidP="00E72AE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respec</w:t>
      </w:r>
      <w:r w:rsidR="00AB5EE1">
        <w:rPr>
          <w:rFonts w:ascii="Palatino Linotype" w:hAnsi="Palatino Linotype" w:cs="Arial"/>
        </w:rPr>
        <w:t xml:space="preserve">to de la resolución dictada en </w:t>
      </w:r>
      <w:r w:rsidRPr="009D3429">
        <w:rPr>
          <w:rFonts w:ascii="Palatino Linotype" w:hAnsi="Palatino Linotype" w:cs="Arial"/>
        </w:rPr>
        <w:t>l</w:t>
      </w:r>
      <w:r w:rsidR="00AB5EE1">
        <w:rPr>
          <w:rFonts w:ascii="Palatino Linotype" w:hAnsi="Palatino Linotype" w:cs="Arial"/>
        </w:rPr>
        <w:t>os</w:t>
      </w:r>
      <w:r w:rsidRPr="009D3429">
        <w:rPr>
          <w:rFonts w:ascii="Palatino Linotype" w:hAnsi="Palatino Linotype" w:cs="Arial"/>
        </w:rPr>
        <w:t xml:space="preserve"> recurso</w:t>
      </w:r>
      <w:r w:rsidR="00AB5EE1">
        <w:rPr>
          <w:rFonts w:ascii="Palatino Linotype" w:hAnsi="Palatino Linotype" w:cs="Arial"/>
        </w:rPr>
        <w:t>s</w:t>
      </w:r>
      <w:r w:rsidRPr="009D3429">
        <w:rPr>
          <w:rFonts w:ascii="Palatino Linotype" w:hAnsi="Palatino Linotype" w:cs="Arial"/>
        </w:rPr>
        <w:t xml:space="preserve"> de revisión</w:t>
      </w:r>
      <w:r w:rsidR="0062438D">
        <w:rPr>
          <w:rFonts w:ascii="Palatino Linotype" w:hAnsi="Palatino Linotype" w:cs="Arial"/>
        </w:rPr>
        <w:t xml:space="preserve"> citados con antelación</w:t>
      </w:r>
      <w:r w:rsidRPr="009D3429">
        <w:rPr>
          <w:rFonts w:ascii="Palatino Linotype" w:hAnsi="Palatino Linotype" w:cs="Arial"/>
        </w:rPr>
        <w:t xml:space="preserve">, pronunciada por el Pleno de este Instituto ante el proyecto presentado por </w:t>
      </w:r>
      <w:r w:rsidR="00F734A6">
        <w:rPr>
          <w:rFonts w:ascii="Palatino Linotype" w:hAnsi="Palatino Linotype" w:cs="Arial"/>
        </w:rPr>
        <w:t>el</w:t>
      </w:r>
      <w:r w:rsidR="009D7BAE" w:rsidRPr="009D3429">
        <w:rPr>
          <w:rFonts w:ascii="Palatino Linotype" w:hAnsi="Palatino Linotype" w:cs="Arial"/>
        </w:rPr>
        <w:t xml:space="preserve"> </w:t>
      </w:r>
      <w:r w:rsidRPr="009D3429">
        <w:rPr>
          <w:rFonts w:ascii="Palatino Linotype" w:hAnsi="Palatino Linotype" w:cs="Arial"/>
        </w:rPr>
        <w:t>Comisionad</w:t>
      </w:r>
      <w:r w:rsidR="00F734A6">
        <w:rPr>
          <w:rFonts w:ascii="Palatino Linotype" w:hAnsi="Palatino Linotype" w:cs="Arial"/>
        </w:rPr>
        <w:t>o</w:t>
      </w:r>
      <w:r w:rsidRPr="009D3429">
        <w:rPr>
          <w:rFonts w:ascii="Palatino Linotype" w:hAnsi="Palatino Linotype" w:cs="Arial"/>
          <w:b/>
        </w:rPr>
        <w:t xml:space="preserve"> </w:t>
      </w:r>
      <w:r w:rsidR="00AB5EE1">
        <w:rPr>
          <w:rFonts w:ascii="Palatino Linotype" w:hAnsi="Palatino Linotype" w:cs="Arial"/>
          <w:b/>
        </w:rPr>
        <w:t>LUIS GUSTAVO PARRA NORIEGA</w:t>
      </w:r>
      <w:r w:rsidRPr="009D3429">
        <w:rPr>
          <w:rFonts w:ascii="Palatino Linotype" w:hAnsi="Palatino Linotype" w:cs="Arial"/>
          <w:b/>
        </w:rPr>
        <w:t>,</w:t>
      </w:r>
      <w:r w:rsidR="000135AA">
        <w:rPr>
          <w:rFonts w:ascii="Palatino Linotype" w:hAnsi="Palatino Linotype" w:cs="Arial"/>
        </w:rPr>
        <w:t xml:space="preserve"> que es del tenor siguiente.</w:t>
      </w:r>
    </w:p>
    <w:p w:rsidR="00AC0EBE" w:rsidRPr="009D3429" w:rsidRDefault="00B2492D" w:rsidP="00E72AE7">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w:t>
      </w:r>
      <w:r w:rsidR="0062438D">
        <w:rPr>
          <w:rFonts w:ascii="Palatino Linotype" w:hAnsi="Palatino Linotype"/>
        </w:rPr>
        <w:t xml:space="preserve"> </w:t>
      </w:r>
      <w:r w:rsidRPr="009D3429">
        <w:rPr>
          <w:rFonts w:ascii="Palatino Linotype" w:hAnsi="Palatino Linotype"/>
        </w:rPr>
        <w:t>l</w:t>
      </w:r>
      <w:r w:rsidR="0062438D">
        <w:rPr>
          <w:rFonts w:ascii="Palatino Linotype" w:hAnsi="Palatino Linotype"/>
        </w:rPr>
        <w:t>os</w:t>
      </w:r>
      <w:r w:rsidRPr="009D3429">
        <w:rPr>
          <w:rFonts w:ascii="Palatino Linotype" w:hAnsi="Palatino Linotype"/>
        </w:rPr>
        <w:t xml:space="preserve"> recurso</w:t>
      </w:r>
      <w:r w:rsidR="0062438D">
        <w:rPr>
          <w:rFonts w:ascii="Palatino Linotype" w:hAnsi="Palatino Linotype"/>
        </w:rPr>
        <w:t>s</w:t>
      </w:r>
      <w:r w:rsidRPr="009D3429">
        <w:rPr>
          <w:rFonts w:ascii="Palatino Linotype" w:hAnsi="Palatino Linotype"/>
        </w:rPr>
        <w:t xml:space="preserve"> de rev</w:t>
      </w:r>
      <w:r w:rsidR="000135AA">
        <w:rPr>
          <w:rFonts w:ascii="Palatino Linotype" w:hAnsi="Palatino Linotype"/>
        </w:rPr>
        <w:t>isión en comento; empero, estimo</w:t>
      </w:r>
      <w:r w:rsidRPr="009D3429">
        <w:rPr>
          <w:rFonts w:ascii="Palatino Linotype" w:hAnsi="Palatino Linotype"/>
        </w:rPr>
        <w:t xml:space="preserve"> necesario precisar algunas consideraciones de hecho y de derecho, </w:t>
      </w:r>
      <w:r w:rsidR="00C108DB">
        <w:rPr>
          <w:rFonts w:ascii="Palatino Linotype" w:hAnsi="Palatino Linotype"/>
        </w:rPr>
        <w:t>tocante a</w:t>
      </w:r>
      <w:r w:rsidR="00742A5A">
        <w:rPr>
          <w:rFonts w:ascii="Palatino Linotype" w:hAnsi="Palatino Linotype"/>
        </w:rPr>
        <w:t>l sentido y parte de la información que se ordena</w:t>
      </w:r>
      <w:r w:rsidRPr="009D3429">
        <w:rPr>
          <w:rFonts w:ascii="Palatino Linotype" w:hAnsi="Palatino Linotype"/>
        </w:rPr>
        <w:t>.</w:t>
      </w:r>
    </w:p>
    <w:p w:rsidR="00411D1F" w:rsidRDefault="00B2492D" w:rsidP="00E72AE7">
      <w:pPr>
        <w:spacing w:before="100" w:beforeAutospacing="1" w:after="100" w:afterAutospacing="1" w:line="360" w:lineRule="auto"/>
        <w:jc w:val="both"/>
        <w:rPr>
          <w:rFonts w:ascii="Palatino Linotype" w:hAnsi="Palatino Linotype"/>
        </w:rPr>
      </w:pPr>
      <w:r w:rsidRPr="009D3429">
        <w:rPr>
          <w:rFonts w:ascii="Palatino Linotype" w:hAnsi="Palatino Linotype"/>
        </w:rPr>
        <w:lastRenderedPageBreak/>
        <w:t xml:space="preserve">Al respecto, tal y como quedó debidamente asentado en la resolución materia del presente voto, </w:t>
      </w:r>
      <w:r w:rsidR="00AB5EE1">
        <w:rPr>
          <w:rFonts w:ascii="Palatino Linotype" w:hAnsi="Palatino Linotype"/>
        </w:rPr>
        <w:t>el</w:t>
      </w:r>
      <w:r w:rsidRPr="009D3429">
        <w:rPr>
          <w:rFonts w:ascii="Palatino Linotype" w:hAnsi="Palatino Linotype"/>
        </w:rPr>
        <w:t xml:space="preserve"> particular requirió de</w:t>
      </w:r>
      <w:r w:rsidR="006D774B">
        <w:rPr>
          <w:rFonts w:ascii="Palatino Linotype" w:hAnsi="Palatino Linotype"/>
        </w:rPr>
        <w:t xml:space="preserve"> </w:t>
      </w:r>
      <w:r w:rsidRPr="009D3429">
        <w:rPr>
          <w:rFonts w:ascii="Palatino Linotype" w:hAnsi="Palatino Linotype"/>
        </w:rPr>
        <w:t>l</w:t>
      </w:r>
      <w:r w:rsidR="006D774B">
        <w:rPr>
          <w:rFonts w:ascii="Palatino Linotype" w:hAnsi="Palatino Linotype"/>
        </w:rPr>
        <w:t>a</w:t>
      </w:r>
      <w:r w:rsidR="003A0C01">
        <w:rPr>
          <w:rFonts w:ascii="Palatino Linotype" w:hAnsi="Palatino Linotype"/>
        </w:rPr>
        <w:t xml:space="preserve"> </w:t>
      </w:r>
      <w:r w:rsidR="006D774B">
        <w:rPr>
          <w:rFonts w:ascii="Palatino Linotype" w:hAnsi="Palatino Linotype"/>
          <w:b/>
        </w:rPr>
        <w:t>Universidad Politécnica del Valle de Toluca</w:t>
      </w:r>
      <w:r w:rsidR="003A0C01">
        <w:rPr>
          <w:rFonts w:ascii="Palatino Linotype" w:hAnsi="Palatino Linotype"/>
        </w:rPr>
        <w:t xml:space="preserve">, en lo sucesivo </w:t>
      </w:r>
      <w:r w:rsidR="003A0C01">
        <w:rPr>
          <w:rFonts w:ascii="Palatino Linotype" w:hAnsi="Palatino Linotype"/>
          <w:b/>
        </w:rPr>
        <w:t>EL</w:t>
      </w:r>
      <w:r w:rsidRPr="009D3429">
        <w:rPr>
          <w:rFonts w:ascii="Palatino Linotype" w:hAnsi="Palatino Linotype"/>
        </w:rPr>
        <w:t xml:space="preserve"> </w:t>
      </w:r>
      <w:r w:rsidRPr="009D3429">
        <w:rPr>
          <w:rFonts w:ascii="Palatino Linotype" w:hAnsi="Palatino Linotype"/>
          <w:b/>
        </w:rPr>
        <w:t>SUJETO OBLIGADO</w:t>
      </w:r>
      <w:r w:rsidR="00C108DB">
        <w:rPr>
          <w:rFonts w:ascii="Palatino Linotype" w:hAnsi="Palatino Linotype" w:cs="Arial"/>
        </w:rPr>
        <w:t xml:space="preserve"> </w:t>
      </w:r>
      <w:r w:rsidR="00F43C85">
        <w:rPr>
          <w:rFonts w:ascii="Palatino Linotype" w:hAnsi="Palatino Linotype" w:cs="Arial"/>
        </w:rPr>
        <w:t xml:space="preserve">los </w:t>
      </w:r>
      <w:r w:rsidR="00F43C85" w:rsidRPr="00040A68">
        <w:rPr>
          <w:rFonts w:ascii="Palatino Linotype" w:eastAsia="Calibri" w:hAnsi="Palatino Linotype" w:cs="Tahoma"/>
          <w:iCs/>
          <w:szCs w:val="22"/>
          <w:lang w:eastAsia="es-ES_tradnl"/>
        </w:rPr>
        <w:t>reconocimientos, listas de asistencia, oficios de solicitud referentes a pláticas, conferencias, diplomados, simposios, cong</w:t>
      </w:r>
      <w:r w:rsidR="00F43C85">
        <w:rPr>
          <w:rFonts w:ascii="Palatino Linotype" w:eastAsia="Calibri" w:hAnsi="Palatino Linotype" w:cs="Tahoma"/>
          <w:iCs/>
          <w:szCs w:val="22"/>
          <w:lang w:eastAsia="es-ES_tradnl"/>
        </w:rPr>
        <w:t xml:space="preserve">resos o eventos diversos en los años 2007, 2008, 2009, </w:t>
      </w:r>
      <w:r w:rsidR="00F43C85" w:rsidRPr="00F43C85">
        <w:rPr>
          <w:rFonts w:ascii="Palatino Linotype" w:eastAsia="Calibri" w:hAnsi="Palatino Linotype" w:cs="Tahoma"/>
          <w:iCs/>
          <w:szCs w:val="22"/>
          <w:lang w:eastAsia="es-ES_tradnl"/>
        </w:rPr>
        <w:t xml:space="preserve">2010, 2011, 2012, 2013, 2014, 2015, 2016, 2017 y 2018. </w:t>
      </w:r>
    </w:p>
    <w:p w:rsidR="00C96B57" w:rsidRDefault="00B2492D" w:rsidP="006D774B">
      <w:pPr>
        <w:spacing w:before="240" w:after="240" w:line="360" w:lineRule="auto"/>
        <w:ind w:right="49"/>
        <w:jc w:val="both"/>
        <w:rPr>
          <w:rFonts w:ascii="Palatino Linotype" w:eastAsia="Calibri" w:hAnsi="Palatino Linotype" w:cs="Arial"/>
          <w:lang w:val="es-AR"/>
        </w:rPr>
      </w:pPr>
      <w:r w:rsidRPr="009D3429">
        <w:rPr>
          <w:rFonts w:ascii="Palatino Linotype" w:hAnsi="Palatino Linotype" w:cs="Arial"/>
        </w:rPr>
        <w:t>En</w:t>
      </w:r>
      <w:r w:rsidR="00F43C85">
        <w:rPr>
          <w:rFonts w:ascii="Palatino Linotype" w:hAnsi="Palatino Linotype" w:cs="Arial"/>
        </w:rPr>
        <w:t xml:space="preserve"> sus </w:t>
      </w:r>
      <w:r w:rsidRPr="009D3429">
        <w:rPr>
          <w:rFonts w:ascii="Palatino Linotype" w:hAnsi="Palatino Linotype"/>
        </w:rPr>
        <w:t>respuesta</w:t>
      </w:r>
      <w:r w:rsidR="00F43C85">
        <w:rPr>
          <w:rFonts w:ascii="Palatino Linotype" w:hAnsi="Palatino Linotype"/>
        </w:rPr>
        <w:t>s</w:t>
      </w:r>
      <w:r w:rsidRPr="009D3429">
        <w:rPr>
          <w:rFonts w:ascii="Palatino Linotype" w:hAnsi="Palatino Linotype" w:cs="Arial"/>
        </w:rPr>
        <w:t xml:space="preserve">, </w:t>
      </w:r>
      <w:r w:rsidRPr="009D3429">
        <w:rPr>
          <w:rFonts w:ascii="Palatino Linotype" w:hAnsi="Palatino Linotype" w:cs="Arial"/>
          <w:b/>
        </w:rPr>
        <w:t>EL SUJETO OBLIGADO</w:t>
      </w:r>
      <w:r w:rsidR="005E5869">
        <w:rPr>
          <w:rFonts w:ascii="Palatino Linotype" w:hAnsi="Palatino Linotype" w:cs="Arial"/>
        </w:rPr>
        <w:t xml:space="preserve"> </w:t>
      </w:r>
      <w:r w:rsidR="00C108DB">
        <w:rPr>
          <w:rFonts w:ascii="Palatino Linotype" w:hAnsi="Palatino Linotype" w:cs="Arial"/>
        </w:rPr>
        <w:t>adjunt</w:t>
      </w:r>
      <w:r w:rsidR="001B2F07">
        <w:rPr>
          <w:rFonts w:ascii="Palatino Linotype" w:hAnsi="Palatino Linotype" w:cs="Arial"/>
        </w:rPr>
        <w:t>ó</w:t>
      </w:r>
      <w:r w:rsidR="00C108DB">
        <w:rPr>
          <w:rFonts w:ascii="Palatino Linotype" w:hAnsi="Palatino Linotype" w:cs="Arial"/>
        </w:rPr>
        <w:t xml:space="preserve"> </w:t>
      </w:r>
      <w:r w:rsidR="000D27FC">
        <w:rPr>
          <w:rFonts w:ascii="Palatino Linotype" w:hAnsi="Palatino Linotype" w:cs="Arial"/>
        </w:rPr>
        <w:t>diversos archivos electrónicos</w:t>
      </w:r>
      <w:r w:rsidR="00C108DB">
        <w:rPr>
          <w:rFonts w:ascii="Palatino Linotype" w:eastAsia="Calibri" w:hAnsi="Palatino Linotype" w:cs="Arial"/>
          <w:lang w:val="es-AR"/>
        </w:rPr>
        <w:t xml:space="preserve">, </w:t>
      </w:r>
      <w:r w:rsidR="000D27FC">
        <w:rPr>
          <w:rFonts w:ascii="Palatino Linotype" w:eastAsia="Calibri" w:hAnsi="Palatino Linotype" w:cs="Arial"/>
          <w:lang w:val="es-AR"/>
        </w:rPr>
        <w:t xml:space="preserve">en los que señaló </w:t>
      </w:r>
      <w:r w:rsidR="000D27FC" w:rsidRPr="000D27FC">
        <w:rPr>
          <w:rFonts w:ascii="Palatino Linotype" w:eastAsia="Calibri" w:hAnsi="Palatino Linotype" w:cs="Tahoma"/>
          <w:bCs/>
          <w:szCs w:val="22"/>
          <w:lang w:eastAsia="en-US"/>
        </w:rPr>
        <w:t xml:space="preserve">que no </w:t>
      </w:r>
      <w:r w:rsidR="0062438D">
        <w:rPr>
          <w:rFonts w:ascii="Palatino Linotype" w:eastAsia="Calibri" w:hAnsi="Palatino Linotype" w:cs="Tahoma"/>
          <w:bCs/>
          <w:szCs w:val="22"/>
          <w:lang w:eastAsia="en-US"/>
        </w:rPr>
        <w:t xml:space="preserve">estaba previsto </w:t>
      </w:r>
      <w:r w:rsidR="000D27FC" w:rsidRPr="000D27FC">
        <w:rPr>
          <w:rFonts w:ascii="Palatino Linotype" w:eastAsia="Calibri" w:hAnsi="Palatino Linotype" w:cs="Tahoma"/>
          <w:bCs/>
          <w:szCs w:val="22"/>
          <w:lang w:eastAsia="en-US"/>
        </w:rPr>
        <w:t xml:space="preserve">dentro de sus funciones </w:t>
      </w:r>
      <w:r w:rsidR="000D27FC" w:rsidRPr="000D27FC">
        <w:rPr>
          <w:rFonts w:ascii="Palatino Linotype" w:eastAsia="Calibri" w:hAnsi="Palatino Linotype" w:cs="Tahoma"/>
          <w:szCs w:val="22"/>
          <w:lang w:eastAsia="es-ES_tradnl"/>
        </w:rPr>
        <w:t xml:space="preserve">la obligación de organizar, gestionar y promover conferencias, seminarios, exposiciones y en general todo tipo de eventos académicos que sean de interés y beneficio para la institución, así como, establecer y ejecutar las actividades necesarias para la promoción de </w:t>
      </w:r>
      <w:r w:rsidR="000D27FC">
        <w:rPr>
          <w:rFonts w:ascii="Palatino Linotype" w:eastAsia="Calibri" w:hAnsi="Palatino Linotype" w:cs="Tahoma"/>
          <w:szCs w:val="22"/>
          <w:lang w:eastAsia="es-ES_tradnl"/>
        </w:rPr>
        <w:t xml:space="preserve">los referidos </w:t>
      </w:r>
      <w:r w:rsidR="000D27FC" w:rsidRPr="000D27FC">
        <w:rPr>
          <w:rFonts w:ascii="Palatino Linotype" w:eastAsia="Calibri" w:hAnsi="Palatino Linotype" w:cs="Tahoma"/>
          <w:szCs w:val="22"/>
          <w:lang w:eastAsia="es-ES_tradnl"/>
        </w:rPr>
        <w:t>eventos y, en general, todas las actividades que contribuyan a la formación de estudiantes del organismo y que sean solicitadas por la Dirección de Planeación y Vinculación de acuerdo al Manual General de Organización de la Universidad Politécnica del Valle de Toluca, publicado en el periódico Oficial Gaceta del Gobierno de fecha 09 de noviembre del 2011, por lo cual no se c</w:t>
      </w:r>
      <w:r w:rsidR="0062438D">
        <w:rPr>
          <w:rFonts w:ascii="Palatino Linotype" w:eastAsia="Calibri" w:hAnsi="Palatino Linotype" w:cs="Tahoma"/>
          <w:szCs w:val="22"/>
          <w:lang w:eastAsia="es-ES_tradnl"/>
        </w:rPr>
        <w:t xml:space="preserve">ontaba </w:t>
      </w:r>
      <w:r w:rsidR="000D27FC" w:rsidRPr="000D27FC">
        <w:rPr>
          <w:rFonts w:ascii="Palatino Linotype" w:eastAsia="Calibri" w:hAnsi="Palatino Linotype" w:cs="Tahoma"/>
          <w:szCs w:val="22"/>
          <w:lang w:eastAsia="es-ES_tradnl"/>
        </w:rPr>
        <w:t>con los documentos donde const</w:t>
      </w:r>
      <w:r w:rsidR="0062438D">
        <w:rPr>
          <w:rFonts w:ascii="Palatino Linotype" w:eastAsia="Calibri" w:hAnsi="Palatino Linotype" w:cs="Tahoma"/>
          <w:szCs w:val="22"/>
          <w:lang w:eastAsia="es-ES_tradnl"/>
        </w:rPr>
        <w:t>ara</w:t>
      </w:r>
      <w:r w:rsidR="000D27FC" w:rsidRPr="000D27FC">
        <w:rPr>
          <w:rFonts w:ascii="Palatino Linotype" w:eastAsia="Calibri" w:hAnsi="Palatino Linotype" w:cs="Tahoma"/>
          <w:szCs w:val="22"/>
          <w:lang w:eastAsia="es-ES_tradnl"/>
        </w:rPr>
        <w:t xml:space="preserve"> la información solicitada, toda vez que no se </w:t>
      </w:r>
      <w:r w:rsidR="0062438D" w:rsidRPr="000D27FC">
        <w:rPr>
          <w:rFonts w:ascii="Palatino Linotype" w:eastAsia="Calibri" w:hAnsi="Palatino Linotype" w:cs="Tahoma"/>
          <w:szCs w:val="22"/>
          <w:lang w:eastAsia="es-ES_tradnl"/>
        </w:rPr>
        <w:t>ha</w:t>
      </w:r>
      <w:r w:rsidR="0062438D">
        <w:rPr>
          <w:rFonts w:ascii="Palatino Linotype" w:eastAsia="Calibri" w:hAnsi="Palatino Linotype" w:cs="Tahoma"/>
          <w:szCs w:val="22"/>
          <w:lang w:eastAsia="es-ES_tradnl"/>
        </w:rPr>
        <w:t>bía</w:t>
      </w:r>
      <w:r w:rsidR="000D27FC" w:rsidRPr="000D27FC">
        <w:rPr>
          <w:rFonts w:ascii="Palatino Linotype" w:eastAsia="Calibri" w:hAnsi="Palatino Linotype" w:cs="Tahoma"/>
          <w:szCs w:val="22"/>
          <w:lang w:eastAsia="es-ES_tradnl"/>
        </w:rPr>
        <w:t xml:space="preserve"> generado, poseído o administrado.</w:t>
      </w:r>
    </w:p>
    <w:p w:rsidR="000135AA" w:rsidRDefault="000135AA" w:rsidP="000135AA">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sidR="000D27FC">
        <w:rPr>
          <w:rFonts w:ascii="Palatino Linotype" w:hAnsi="Palatino Linotype" w:cs="Arial"/>
          <w:b/>
        </w:rPr>
        <w:t>EL</w:t>
      </w:r>
      <w:r w:rsidRPr="002E6BDD">
        <w:rPr>
          <w:rFonts w:ascii="Palatino Linotype" w:hAnsi="Palatino Linotype" w:cs="Arial"/>
          <w:b/>
        </w:rPr>
        <w:t xml:space="preserve"> RECURRENTE</w:t>
      </w:r>
      <w:r w:rsidRPr="002E6BDD">
        <w:rPr>
          <w:rFonts w:ascii="Palatino Linotype" w:hAnsi="Palatino Linotype" w:cs="Arial"/>
        </w:rPr>
        <w:t xml:space="preserve"> inconforme con la</w:t>
      </w:r>
      <w:r w:rsidR="000D27FC">
        <w:rPr>
          <w:rFonts w:ascii="Palatino Linotype" w:hAnsi="Palatino Linotype" w:cs="Arial"/>
        </w:rPr>
        <w:t>s</w:t>
      </w:r>
      <w:r w:rsidRPr="002E6BDD">
        <w:rPr>
          <w:rFonts w:ascii="Palatino Linotype" w:hAnsi="Palatino Linotype" w:cs="Arial"/>
        </w:rPr>
        <w:t xml:space="preserve"> respuesta</w:t>
      </w:r>
      <w:r w:rsidR="000D27FC">
        <w:rPr>
          <w:rFonts w:ascii="Palatino Linotype" w:hAnsi="Palatino Linotype" w:cs="Arial"/>
        </w:rPr>
        <w:t>s</w:t>
      </w:r>
      <w:r w:rsidRPr="002E6BDD">
        <w:rPr>
          <w:rFonts w:ascii="Palatino Linotype" w:hAnsi="Palatino Linotype" w:cs="Arial"/>
        </w:rPr>
        <w:t xml:space="preserve"> otorgada</w:t>
      </w:r>
      <w:r w:rsidR="000D27FC">
        <w:rPr>
          <w:rFonts w:ascii="Palatino Linotype" w:hAnsi="Palatino Linotype" w:cs="Arial"/>
        </w:rPr>
        <w:t>s</w:t>
      </w:r>
      <w:r w:rsidRPr="002E6BDD">
        <w:rPr>
          <w:rFonts w:ascii="Palatino Linotype" w:hAnsi="Palatino Linotype" w:cs="Arial"/>
        </w:rPr>
        <w:t xml:space="preserve"> por </w:t>
      </w:r>
      <w:r w:rsidRPr="002E6BDD">
        <w:rPr>
          <w:rFonts w:ascii="Palatino Linotype" w:hAnsi="Palatino Linotype" w:cs="Arial"/>
          <w:b/>
        </w:rPr>
        <w:t>EL SUJETO OBLIGADO,</w:t>
      </w:r>
      <w:r w:rsidRPr="002E6BDD">
        <w:rPr>
          <w:rFonts w:ascii="Palatino Linotype" w:hAnsi="Palatino Linotype" w:cs="Arial"/>
        </w:rPr>
        <w:t xml:space="preserve"> interpuso l</w:t>
      </w:r>
      <w:r w:rsidR="000D27FC">
        <w:rPr>
          <w:rFonts w:ascii="Palatino Linotype" w:hAnsi="Palatino Linotype" w:cs="Arial"/>
        </w:rPr>
        <w:t>os</w:t>
      </w:r>
      <w:r w:rsidRPr="002E6BDD">
        <w:rPr>
          <w:rFonts w:ascii="Palatino Linotype" w:hAnsi="Palatino Linotype" w:cs="Arial"/>
        </w:rPr>
        <w:t xml:space="preserve"> recurso</w:t>
      </w:r>
      <w:r w:rsidR="000D27FC">
        <w:rPr>
          <w:rFonts w:ascii="Palatino Linotype" w:hAnsi="Palatino Linotype" w:cs="Arial"/>
        </w:rPr>
        <w:t>s</w:t>
      </w:r>
      <w:r w:rsidRPr="002E6BDD">
        <w:rPr>
          <w:rFonts w:ascii="Palatino Linotype" w:hAnsi="Palatino Linotype" w:cs="Arial"/>
        </w:rPr>
        <w:t xml:space="preserve"> de revisión de mérito</w:t>
      </w:r>
      <w:r w:rsidR="00860144">
        <w:rPr>
          <w:rFonts w:ascii="Palatino Linotype" w:hAnsi="Palatino Linotype" w:cs="Arial"/>
        </w:rPr>
        <w:t>, señalando como acto impugnado lo siguiente:</w:t>
      </w:r>
    </w:p>
    <w:p w:rsidR="00860144" w:rsidRPr="00860144" w:rsidRDefault="00860144" w:rsidP="00860144">
      <w:pPr>
        <w:spacing w:before="100" w:beforeAutospacing="1" w:after="100" w:afterAutospacing="1" w:line="360" w:lineRule="auto"/>
        <w:ind w:left="851" w:right="899"/>
        <w:jc w:val="both"/>
        <w:rPr>
          <w:rFonts w:ascii="Palatino Linotype" w:hAnsi="Palatino Linotype" w:cs="Arial"/>
          <w:sz w:val="22"/>
        </w:rPr>
      </w:pPr>
      <w:r w:rsidRPr="00A21D5B">
        <w:rPr>
          <w:rFonts w:ascii="Palatino Linotype" w:eastAsiaTheme="minorEastAsia" w:hAnsi="Palatino Linotype"/>
          <w:i/>
          <w:lang w:val="es-ES_tradnl"/>
        </w:rPr>
        <w:lastRenderedPageBreak/>
        <w:t>“</w:t>
      </w:r>
      <w:r w:rsidRPr="00860144">
        <w:rPr>
          <w:rFonts w:ascii="Palatino Linotype" w:eastAsiaTheme="minorEastAsia" w:hAnsi="Palatino Linotype"/>
          <w:i/>
          <w:sz w:val="22"/>
          <w:lang w:val="es-ES_tradnl"/>
        </w:rPr>
        <w:t>Niegan información”</w:t>
      </w:r>
      <w:r w:rsidRPr="00A21D5B">
        <w:rPr>
          <w:rFonts w:ascii="Palatino Linotype" w:eastAsiaTheme="minorEastAsia" w:hAnsi="Palatino Linotype"/>
          <w:i/>
          <w:lang w:val="es-ES_tradnl"/>
        </w:rPr>
        <w:t xml:space="preserve"> (Sic)</w:t>
      </w:r>
    </w:p>
    <w:p w:rsidR="00860144" w:rsidRDefault="00860144" w:rsidP="000135A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manifestó como razones o motivos de inconformidad: </w:t>
      </w:r>
    </w:p>
    <w:p w:rsidR="00860144" w:rsidRDefault="00860144" w:rsidP="0062438D">
      <w:pPr>
        <w:ind w:left="851" w:right="902"/>
        <w:jc w:val="both"/>
        <w:rPr>
          <w:rFonts w:ascii="Palatino Linotype" w:hAnsi="Palatino Linotype" w:cs="Arial"/>
        </w:rPr>
      </w:pPr>
      <w:r w:rsidRPr="00860144">
        <w:rPr>
          <w:rFonts w:ascii="Palatino Linotype" w:eastAsiaTheme="minorEastAsia" w:hAnsi="Palatino Linotype"/>
          <w:i/>
          <w:sz w:val="22"/>
          <w:lang w:val="es-ES_tradnl"/>
        </w:rPr>
        <w:t>“</w:t>
      </w:r>
      <w:r w:rsidR="008C61AC">
        <w:rPr>
          <w:rFonts w:ascii="Palatino Linotype" w:eastAsiaTheme="minorEastAsia" w:hAnsi="Palatino Linotype"/>
          <w:i/>
          <w:sz w:val="22"/>
        </w:rPr>
        <w:t>Dentro de sus mismas redes sociales publicitan salidas y organización de eventos y ante esta autoridad niegan y mienten el desarrollo de las actividades solicitadas en el documento que requirió saber</w:t>
      </w:r>
      <w:r w:rsidRPr="00860144">
        <w:rPr>
          <w:rFonts w:ascii="Palatino Linotype" w:eastAsiaTheme="minorEastAsia" w:hAnsi="Palatino Linotype"/>
          <w:i/>
          <w:sz w:val="22"/>
          <w:lang w:val="es-ES_tradnl"/>
        </w:rPr>
        <w:t xml:space="preserve">” </w:t>
      </w:r>
      <w:r w:rsidRPr="004C1939">
        <w:rPr>
          <w:rFonts w:ascii="Palatino Linotype" w:eastAsiaTheme="minorEastAsia" w:hAnsi="Palatino Linotype" w:cs="Arial"/>
          <w:i/>
          <w:lang w:val="es-ES_tradnl"/>
        </w:rPr>
        <w:t>(Sic)</w:t>
      </w:r>
    </w:p>
    <w:p w:rsidR="007A6603" w:rsidRPr="007A6603" w:rsidRDefault="007A6603" w:rsidP="000135A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esa tesitura, </w:t>
      </w:r>
      <w:r>
        <w:rPr>
          <w:rFonts w:ascii="Palatino Linotype" w:hAnsi="Palatino Linotype" w:cs="Arial"/>
          <w:b/>
        </w:rPr>
        <w:t xml:space="preserve">EL SUJETO OBLIGADO </w:t>
      </w:r>
      <w:r>
        <w:rPr>
          <w:rFonts w:ascii="Palatino Linotype" w:hAnsi="Palatino Linotype" w:cs="Arial"/>
        </w:rPr>
        <w:t>rindió su</w:t>
      </w:r>
      <w:r w:rsidR="008C61AC">
        <w:rPr>
          <w:rFonts w:ascii="Palatino Linotype" w:hAnsi="Palatino Linotype" w:cs="Arial"/>
        </w:rPr>
        <w:t>s</w:t>
      </w:r>
      <w:r>
        <w:rPr>
          <w:rFonts w:ascii="Palatino Linotype" w:hAnsi="Palatino Linotype" w:cs="Arial"/>
        </w:rPr>
        <w:t xml:space="preserve"> Informe</w:t>
      </w:r>
      <w:r w:rsidR="0043163F">
        <w:rPr>
          <w:rFonts w:ascii="Palatino Linotype" w:hAnsi="Palatino Linotype" w:cs="Arial"/>
        </w:rPr>
        <w:t>s</w:t>
      </w:r>
      <w:r>
        <w:rPr>
          <w:rFonts w:ascii="Palatino Linotype" w:hAnsi="Palatino Linotype" w:cs="Arial"/>
        </w:rPr>
        <w:t xml:space="preserve"> Justificado</w:t>
      </w:r>
      <w:r w:rsidR="0043163F">
        <w:rPr>
          <w:rFonts w:ascii="Palatino Linotype" w:hAnsi="Palatino Linotype" w:cs="Arial"/>
        </w:rPr>
        <w:t>s</w:t>
      </w:r>
      <w:r>
        <w:rPr>
          <w:rFonts w:ascii="Palatino Linotype" w:hAnsi="Palatino Linotype" w:cs="Arial"/>
        </w:rPr>
        <w:t xml:space="preserve"> </w:t>
      </w:r>
      <w:r w:rsidR="0043163F">
        <w:rPr>
          <w:rFonts w:ascii="Palatino Linotype" w:hAnsi="Palatino Linotype" w:cs="Arial"/>
        </w:rPr>
        <w:t xml:space="preserve">mismos que no fueron puestos a disposición del </w:t>
      </w:r>
      <w:r w:rsidR="0043163F" w:rsidRPr="0043163F">
        <w:rPr>
          <w:rFonts w:ascii="Palatino Linotype" w:hAnsi="Palatino Linotype" w:cs="Arial"/>
          <w:b/>
        </w:rPr>
        <w:t>RECURRENTE</w:t>
      </w:r>
      <w:r w:rsidR="0043163F">
        <w:rPr>
          <w:rFonts w:ascii="Palatino Linotype" w:hAnsi="Palatino Linotype" w:cs="Arial"/>
        </w:rPr>
        <w:t xml:space="preserve"> en razón de que en éstos ratific</w:t>
      </w:r>
      <w:r w:rsidR="0062438D">
        <w:rPr>
          <w:rFonts w:ascii="Palatino Linotype" w:hAnsi="Palatino Linotype" w:cs="Arial"/>
        </w:rPr>
        <w:t>ó</w:t>
      </w:r>
      <w:r w:rsidR="0043163F">
        <w:rPr>
          <w:rFonts w:ascii="Palatino Linotype" w:hAnsi="Palatino Linotype" w:cs="Arial"/>
        </w:rPr>
        <w:t xml:space="preserve"> sus respuestas. </w:t>
      </w:r>
    </w:p>
    <w:p w:rsidR="00913A98" w:rsidRDefault="00B2492D" w:rsidP="00E72AE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w:t>
      </w:r>
      <w:r w:rsidR="009D7BAE" w:rsidRPr="009D3429">
        <w:rPr>
          <w:rFonts w:ascii="Palatino Linotype" w:hAnsi="Palatino Linotype" w:cs="Arial"/>
        </w:rPr>
        <w:t>o</w:t>
      </w:r>
      <w:r w:rsidRPr="009D3429">
        <w:rPr>
          <w:rFonts w:ascii="Palatino Linotype" w:hAnsi="Palatino Linotype" w:cs="Arial"/>
        </w:rPr>
        <w:t>ra</w:t>
      </w:r>
      <w:proofErr w:type="spellEnd"/>
      <w:r w:rsidRPr="009D3429">
        <w:rPr>
          <w:rFonts w:ascii="Palatino Linotype" w:hAnsi="Palatino Linotype" w:cs="Arial"/>
        </w:rPr>
        <w:t xml:space="preserve"> determinó </w:t>
      </w:r>
      <w:r w:rsidR="0043163F">
        <w:rPr>
          <w:rFonts w:ascii="Palatino Linotype" w:hAnsi="Palatino Linotype" w:cs="Arial"/>
          <w:b/>
        </w:rPr>
        <w:t>REVOCAR</w:t>
      </w:r>
      <w:r w:rsidRPr="009D3429">
        <w:rPr>
          <w:rFonts w:ascii="Palatino Linotype" w:hAnsi="Palatino Linotype" w:cs="Arial"/>
        </w:rPr>
        <w:t xml:space="preserve"> la</w:t>
      </w:r>
      <w:r w:rsidR="0043163F">
        <w:rPr>
          <w:rFonts w:ascii="Palatino Linotype" w:hAnsi="Palatino Linotype" w:cs="Arial"/>
        </w:rPr>
        <w:t>s</w:t>
      </w:r>
      <w:r w:rsidRPr="009D3429">
        <w:rPr>
          <w:rFonts w:ascii="Palatino Linotype" w:hAnsi="Palatino Linotype" w:cs="Arial"/>
        </w:rPr>
        <w:t xml:space="preserve"> respuesta</w:t>
      </w:r>
      <w:r w:rsidR="0043163F">
        <w:rPr>
          <w:rFonts w:ascii="Palatino Linotype" w:hAnsi="Palatino Linotype" w:cs="Arial"/>
        </w:rPr>
        <w:t>s</w:t>
      </w:r>
      <w:r w:rsidRPr="009D3429">
        <w:rPr>
          <w:rFonts w:ascii="Palatino Linotype" w:hAnsi="Palatino Linotype" w:cs="Arial"/>
        </w:rPr>
        <w:t xml:space="preserve"> del </w:t>
      </w:r>
      <w:r w:rsidRPr="009D3429">
        <w:rPr>
          <w:rFonts w:ascii="Palatino Linotype" w:hAnsi="Palatino Linotype" w:cs="Arial"/>
          <w:b/>
        </w:rPr>
        <w:t xml:space="preserve">SUJETO OBLIGADO </w:t>
      </w:r>
      <w:r w:rsidR="00472B04" w:rsidRPr="009D3429">
        <w:rPr>
          <w:rFonts w:ascii="Palatino Linotype" w:hAnsi="Palatino Linotype" w:cs="Arial"/>
        </w:rPr>
        <w:t xml:space="preserve">ordenándole </w:t>
      </w:r>
      <w:r w:rsidR="00CB74D6">
        <w:rPr>
          <w:rFonts w:ascii="Palatino Linotype" w:hAnsi="Palatino Linotype" w:cs="Arial"/>
        </w:rPr>
        <w:t>la</w:t>
      </w:r>
      <w:r w:rsidR="00472B04" w:rsidRPr="009D3429">
        <w:rPr>
          <w:rFonts w:ascii="Palatino Linotype" w:hAnsi="Palatino Linotype" w:cs="Arial"/>
        </w:rPr>
        <w:t xml:space="preserve"> entrega vía Sistema de Acceso a I</w:t>
      </w:r>
      <w:r w:rsidR="002276A7">
        <w:rPr>
          <w:rFonts w:ascii="Palatino Linotype" w:hAnsi="Palatino Linotype" w:cs="Arial"/>
        </w:rPr>
        <w:t>nformación Mexiquense (SAIMEX),</w:t>
      </w:r>
      <w:r w:rsidR="00DA22CE">
        <w:rPr>
          <w:rFonts w:ascii="Palatino Linotype" w:hAnsi="Palatino Linotype" w:cs="Arial"/>
        </w:rPr>
        <w:t xml:space="preserve"> </w:t>
      </w:r>
      <w:r w:rsidR="0043163F">
        <w:rPr>
          <w:rFonts w:ascii="Palatino Linotype" w:hAnsi="Palatino Linotype" w:cs="Arial"/>
        </w:rPr>
        <w:t xml:space="preserve">de ser procedente en versión pública por el periodo comprendido desde el 1 de enero de 2007 </w:t>
      </w:r>
      <w:r w:rsidR="000C1B61">
        <w:rPr>
          <w:rFonts w:ascii="Palatino Linotype" w:hAnsi="Palatino Linotype" w:cs="Arial"/>
        </w:rPr>
        <w:t xml:space="preserve">al 29 de octubre de 2018, de lo </w:t>
      </w:r>
      <w:r w:rsidR="00A66F9E">
        <w:rPr>
          <w:rFonts w:ascii="Palatino Linotype" w:hAnsi="Palatino Linotype" w:cs="Arial"/>
        </w:rPr>
        <w:t xml:space="preserve">siguiente: </w:t>
      </w:r>
    </w:p>
    <w:p w:rsidR="000C1B61" w:rsidRPr="000C1B61" w:rsidRDefault="000C1B61" w:rsidP="000C1B61">
      <w:pPr>
        <w:ind w:left="851" w:right="902"/>
        <w:jc w:val="both"/>
        <w:rPr>
          <w:rFonts w:ascii="Palatino Linotype" w:hAnsi="Palatino Linotype" w:cs="Arial"/>
          <w:i/>
          <w:sz w:val="22"/>
        </w:rPr>
      </w:pPr>
      <w:r w:rsidRPr="000C1B61">
        <w:rPr>
          <w:rFonts w:ascii="Palatino Linotype" w:hAnsi="Palatino Linotype" w:cs="Arial"/>
          <w:i/>
          <w:sz w:val="22"/>
        </w:rPr>
        <w:t>1.</w:t>
      </w:r>
      <w:r w:rsidRPr="000C1B61">
        <w:rPr>
          <w:rFonts w:ascii="Palatino Linotype" w:hAnsi="Palatino Linotype" w:cs="Arial"/>
          <w:i/>
          <w:sz w:val="22"/>
        </w:rPr>
        <w:tab/>
        <w:t>Los documentos donde consten solicitudes referentes a pláticas, conferencias, diplomados, simposios, congresos o eventos diversos.</w:t>
      </w:r>
    </w:p>
    <w:p w:rsidR="000C1B61" w:rsidRPr="000C1B61" w:rsidRDefault="000C1B61" w:rsidP="000C1B61">
      <w:pPr>
        <w:ind w:left="851" w:right="902"/>
        <w:jc w:val="both"/>
        <w:rPr>
          <w:rFonts w:ascii="Palatino Linotype" w:hAnsi="Palatino Linotype" w:cs="Arial"/>
          <w:i/>
          <w:sz w:val="22"/>
        </w:rPr>
      </w:pPr>
    </w:p>
    <w:p w:rsidR="000C1B61" w:rsidRPr="000C1B61" w:rsidRDefault="000C1B61" w:rsidP="000C1B61">
      <w:pPr>
        <w:ind w:left="851" w:right="902"/>
        <w:jc w:val="both"/>
        <w:rPr>
          <w:rFonts w:ascii="Palatino Linotype" w:hAnsi="Palatino Linotype" w:cs="Arial"/>
          <w:i/>
          <w:sz w:val="22"/>
        </w:rPr>
      </w:pPr>
      <w:r w:rsidRPr="000C1B61">
        <w:rPr>
          <w:rFonts w:ascii="Palatino Linotype" w:hAnsi="Palatino Linotype" w:cs="Arial"/>
          <w:i/>
          <w:sz w:val="22"/>
        </w:rPr>
        <w:t>2.</w:t>
      </w:r>
      <w:r w:rsidRPr="000C1B61">
        <w:rPr>
          <w:rFonts w:ascii="Palatino Linotype" w:hAnsi="Palatino Linotype" w:cs="Arial"/>
          <w:i/>
          <w:sz w:val="22"/>
        </w:rPr>
        <w:tab/>
        <w:t>Listas de asistencia a pláticas, conferencias, diplomados, simposios, congresos o eventos diversos, dirigidos a servidores públicos.</w:t>
      </w:r>
    </w:p>
    <w:p w:rsidR="000C1B61" w:rsidRPr="000C1B61" w:rsidRDefault="000C1B61" w:rsidP="000C1B61">
      <w:pPr>
        <w:ind w:left="851" w:right="902"/>
        <w:jc w:val="both"/>
        <w:rPr>
          <w:rFonts w:ascii="Palatino Linotype" w:hAnsi="Palatino Linotype" w:cs="Arial"/>
          <w:i/>
          <w:sz w:val="22"/>
        </w:rPr>
      </w:pPr>
    </w:p>
    <w:p w:rsidR="000C1B61" w:rsidRPr="000C1B61" w:rsidRDefault="000C1B61" w:rsidP="000C1B61">
      <w:pPr>
        <w:ind w:left="851" w:right="902"/>
        <w:jc w:val="both"/>
        <w:rPr>
          <w:rFonts w:ascii="Palatino Linotype" w:hAnsi="Palatino Linotype" w:cs="Arial"/>
          <w:i/>
          <w:sz w:val="22"/>
        </w:rPr>
      </w:pPr>
      <w:r w:rsidRPr="000C1B61">
        <w:rPr>
          <w:rFonts w:ascii="Palatino Linotype" w:hAnsi="Palatino Linotype" w:cs="Arial"/>
          <w:i/>
          <w:sz w:val="22"/>
        </w:rPr>
        <w:t>3.</w:t>
      </w:r>
      <w:r w:rsidRPr="000C1B61">
        <w:rPr>
          <w:rFonts w:ascii="Palatino Linotype" w:hAnsi="Palatino Linotype" w:cs="Arial"/>
          <w:i/>
          <w:sz w:val="22"/>
        </w:rPr>
        <w:tab/>
        <w:t>En su caso, versión pública de reconocimientos otorgados en pláticas, conferencias, diplomados, simposios, congresos o eventos diversos.</w:t>
      </w:r>
    </w:p>
    <w:p w:rsidR="000C1B61" w:rsidRPr="000C1B61" w:rsidRDefault="000C1B61" w:rsidP="000C1B61">
      <w:pPr>
        <w:ind w:left="851" w:right="902"/>
        <w:jc w:val="both"/>
        <w:rPr>
          <w:rFonts w:ascii="Palatino Linotype" w:hAnsi="Palatino Linotype" w:cs="Arial"/>
          <w:i/>
          <w:sz w:val="22"/>
        </w:rPr>
      </w:pPr>
    </w:p>
    <w:p w:rsidR="000C1B61" w:rsidRPr="000C1B61" w:rsidRDefault="000C1B61" w:rsidP="000C1B61">
      <w:pPr>
        <w:ind w:left="851" w:right="902"/>
        <w:jc w:val="both"/>
        <w:rPr>
          <w:rFonts w:ascii="Palatino Linotype" w:hAnsi="Palatino Linotype" w:cs="Arial"/>
          <w:i/>
          <w:sz w:val="22"/>
        </w:rPr>
      </w:pPr>
      <w:r w:rsidRPr="000C1B61">
        <w:rPr>
          <w:rFonts w:ascii="Palatino Linotype" w:hAnsi="Palatino Linotype" w:cs="Arial"/>
          <w:i/>
          <w:sz w:val="22"/>
        </w:rPr>
        <w:t>4.</w:t>
      </w:r>
      <w:r w:rsidRPr="000C1B61">
        <w:rPr>
          <w:rFonts w:ascii="Palatino Linotype" w:hAnsi="Palatino Linotype" w:cs="Arial"/>
          <w:i/>
          <w:sz w:val="22"/>
        </w:rPr>
        <w:tab/>
        <w:t xml:space="preserve">El acuerdo de clasificación como confidenciales de los datos personales de alumnos que consten en listas de asistencia o reconocimientos, el cual deberá ser aprobado por el Comité de Transparencia, de conformidad con lo dispuesto en los </w:t>
      </w:r>
      <w:r w:rsidRPr="000C1B61">
        <w:rPr>
          <w:rFonts w:ascii="Palatino Linotype" w:hAnsi="Palatino Linotype" w:cs="Arial"/>
          <w:i/>
          <w:sz w:val="22"/>
        </w:rPr>
        <w:lastRenderedPageBreak/>
        <w:t>artículos 49, fracciones II y VIII, 143, fracción I y 149, de la Ley de Transparencia y Acceso a la Información Pública del Estado de México y Municipios.</w:t>
      </w:r>
    </w:p>
    <w:p w:rsidR="000C1B61" w:rsidRPr="000C1B61" w:rsidRDefault="000C1B61" w:rsidP="000C1B61">
      <w:pPr>
        <w:ind w:left="851" w:right="902"/>
        <w:jc w:val="both"/>
        <w:rPr>
          <w:rFonts w:ascii="Palatino Linotype" w:hAnsi="Palatino Linotype" w:cs="Arial"/>
          <w:i/>
          <w:sz w:val="22"/>
        </w:rPr>
      </w:pPr>
    </w:p>
    <w:p w:rsidR="000C1B61" w:rsidRPr="000C1B61" w:rsidRDefault="000C1B61" w:rsidP="000C1B61">
      <w:pPr>
        <w:ind w:left="851" w:right="902"/>
        <w:jc w:val="both"/>
        <w:rPr>
          <w:rFonts w:ascii="Palatino Linotype" w:hAnsi="Palatino Linotype" w:cs="Arial"/>
          <w:i/>
          <w:sz w:val="22"/>
        </w:rPr>
      </w:pPr>
      <w:r w:rsidRPr="000C1B61">
        <w:rPr>
          <w:rFonts w:ascii="Palatino Linotype" w:hAnsi="Palatino Linotype" w:cs="Arial"/>
          <w:b/>
          <w:i/>
          <w:sz w:val="22"/>
        </w:rPr>
        <w:t>En caso de que la información solicitada, correspondiente a los años dos mil siete a dos mil diez, haya sido dada de baja por su antigüedad, se deberá entregar al Recurrente, el acta de baja documental</w:t>
      </w:r>
      <w:r w:rsidRPr="000C1B61">
        <w:rPr>
          <w:rFonts w:ascii="Palatino Linotype" w:hAnsi="Palatino Linotype" w:cs="Arial"/>
          <w:i/>
          <w:sz w:val="22"/>
        </w:rPr>
        <w:t>.</w:t>
      </w:r>
    </w:p>
    <w:p w:rsidR="000C1B61" w:rsidRPr="000C1B61" w:rsidRDefault="000C1B61" w:rsidP="000C1B61">
      <w:pPr>
        <w:ind w:left="851" w:right="902"/>
        <w:jc w:val="both"/>
        <w:rPr>
          <w:rFonts w:ascii="Palatino Linotype" w:hAnsi="Palatino Linotype" w:cs="Arial"/>
          <w:i/>
          <w:sz w:val="22"/>
        </w:rPr>
      </w:pPr>
    </w:p>
    <w:p w:rsidR="00A66F9E" w:rsidRDefault="000C1B61" w:rsidP="000C1B61">
      <w:pPr>
        <w:ind w:left="851" w:right="902"/>
        <w:jc w:val="both"/>
        <w:rPr>
          <w:rFonts w:ascii="Palatino Linotype" w:hAnsi="Palatino Linotype" w:cs="Arial"/>
        </w:rPr>
      </w:pPr>
      <w:r w:rsidRPr="000C1B61">
        <w:rPr>
          <w:rFonts w:ascii="Palatino Linotype" w:hAnsi="Palatino Linotype" w:cs="Arial"/>
          <w:i/>
          <w:sz w:val="22"/>
        </w:rPr>
        <w:t>De no encontrarse la información solicitada por no haberse generado, bastará con que lo indique al Particular en términos del artículo 19, párrafo segundo de la Ley de Transparencia y Acceso a la Información Pública del Estado de México y Municipios.</w:t>
      </w:r>
    </w:p>
    <w:p w:rsidR="008B62C2" w:rsidRDefault="008B62C2" w:rsidP="00E72AE7">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w:t>
      </w:r>
      <w:r w:rsidR="00742A5A">
        <w:rPr>
          <w:rFonts w:ascii="Palatino Linotype" w:hAnsi="Palatino Linotype"/>
        </w:rPr>
        <w:t>suscrita reitera que</w:t>
      </w:r>
      <w:r>
        <w:rPr>
          <w:rFonts w:ascii="Palatino Linotype" w:hAnsi="Palatino Linotype"/>
        </w:rPr>
        <w:t xml:space="preserve"> si bien coincide con las causas que dieron origen a</w:t>
      </w:r>
      <w:r w:rsidR="000C1B61">
        <w:rPr>
          <w:rFonts w:ascii="Palatino Linotype" w:hAnsi="Palatino Linotype"/>
        </w:rPr>
        <w:t xml:space="preserve"> </w:t>
      </w:r>
      <w:r>
        <w:rPr>
          <w:rFonts w:ascii="Palatino Linotype" w:hAnsi="Palatino Linotype"/>
        </w:rPr>
        <w:t>l</w:t>
      </w:r>
      <w:r w:rsidR="000C1B61">
        <w:rPr>
          <w:rFonts w:ascii="Palatino Linotype" w:hAnsi="Palatino Linotype"/>
        </w:rPr>
        <w:t>os</w:t>
      </w:r>
      <w:r>
        <w:rPr>
          <w:rFonts w:ascii="Palatino Linotype" w:hAnsi="Palatino Linotype"/>
        </w:rPr>
        <w:t xml:space="preserve"> recurso</w:t>
      </w:r>
      <w:r w:rsidR="000C1B61">
        <w:rPr>
          <w:rFonts w:ascii="Palatino Linotype" w:hAnsi="Palatino Linotype"/>
        </w:rPr>
        <w:t>s</w:t>
      </w:r>
      <w:r>
        <w:rPr>
          <w:rFonts w:ascii="Palatino Linotype" w:hAnsi="Palatino Linotype"/>
        </w:rPr>
        <w:t xml:space="preserve">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sidR="000C1B61">
        <w:rPr>
          <w:rFonts w:ascii="Palatino Linotype" w:hAnsi="Palatino Linotype"/>
          <w:b/>
        </w:rPr>
        <w:t xml:space="preserve">REVOCAR </w:t>
      </w:r>
      <w:r>
        <w:rPr>
          <w:rFonts w:ascii="Palatino Linotype" w:hAnsi="Palatino Linotype" w:cs="Arial"/>
        </w:rPr>
        <w:t>la</w:t>
      </w:r>
      <w:r w:rsidR="000C1B61">
        <w:rPr>
          <w:rFonts w:ascii="Palatino Linotype" w:hAnsi="Palatino Linotype" w:cs="Arial"/>
        </w:rPr>
        <w:t>s</w:t>
      </w:r>
      <w:r>
        <w:rPr>
          <w:rFonts w:ascii="Palatino Linotype" w:hAnsi="Palatino Linotype" w:cs="Arial"/>
        </w:rPr>
        <w:t xml:space="preserve"> respuesta</w:t>
      </w:r>
      <w:r w:rsidR="000C1B61">
        <w:rPr>
          <w:rFonts w:ascii="Palatino Linotype" w:hAnsi="Palatino Linotype" w:cs="Arial"/>
        </w:rPr>
        <w:t>s</w:t>
      </w:r>
      <w:r>
        <w:rPr>
          <w:rFonts w:ascii="Palatino Linotype" w:hAnsi="Palatino Linotype" w:cs="Arial"/>
        </w:rPr>
        <w:t xml:space="preserve">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 xml:space="preserve">o anterior es así, de acuerdo con lo siguiente. </w:t>
      </w:r>
    </w:p>
    <w:p w:rsidR="00B2492D" w:rsidRPr="009D3429" w:rsidRDefault="00B2492D" w:rsidP="00E72AE7">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 xml:space="preserve">Desechar o sobreseer el recurso; </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 xml:space="preserve">Confirmar la respuesta del sujeto obligado; </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b/>
          <w:i/>
          <w:sz w:val="22"/>
        </w:rPr>
        <w:t>Revocar o modificar la respuesta del sujeto obligado</w:t>
      </w:r>
      <w:r w:rsidRPr="00426B32">
        <w:rPr>
          <w:rFonts w:ascii="Palatino Linotype" w:hAnsi="Palatino Linotype"/>
          <w:i/>
          <w:sz w:val="22"/>
        </w:rPr>
        <w:t xml:space="preserve">; y </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Ordenar la entrega de la información.</w:t>
      </w:r>
    </w:p>
    <w:p w:rsidR="00B2492D" w:rsidRDefault="00B2492D" w:rsidP="00913A98">
      <w:pPr>
        <w:tabs>
          <w:tab w:val="left" w:pos="8789"/>
        </w:tabs>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lastRenderedPageBreak/>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472135" w:rsidRPr="00A305AC" w:rsidRDefault="00472135" w:rsidP="00472135">
      <w:pPr>
        <w:spacing w:line="360" w:lineRule="auto"/>
        <w:ind w:right="-164"/>
        <w:jc w:val="both"/>
        <w:rPr>
          <w:rFonts w:ascii="Palatino Linotype" w:hAnsi="Palatino Linotype" w:cs="Arial"/>
          <w:b/>
        </w:rPr>
      </w:pPr>
      <w:r w:rsidRPr="00A305AC">
        <w:rPr>
          <w:rFonts w:ascii="Palatino Linotype" w:hAnsi="Palatino Linotype" w:cs="Arial"/>
        </w:rPr>
        <w:t xml:space="preserve">Así, en el presente caso, </w:t>
      </w:r>
      <w:r>
        <w:rPr>
          <w:rFonts w:ascii="Palatino Linotype" w:hAnsi="Palatino Linotype" w:cs="Arial"/>
        </w:rPr>
        <w:t>conforme al sentido determinado</w:t>
      </w:r>
      <w:r w:rsidRPr="00A305AC">
        <w:rPr>
          <w:rFonts w:ascii="Palatino Linotype" w:hAnsi="Palatino Linotype" w:cs="Arial"/>
        </w:rPr>
        <w:t xml:space="preserve"> por la Ponencia </w:t>
      </w:r>
      <w:proofErr w:type="spellStart"/>
      <w:r w:rsidRPr="00A305AC">
        <w:rPr>
          <w:rFonts w:ascii="Palatino Linotype" w:hAnsi="Palatino Linotype" w:cs="Arial"/>
        </w:rPr>
        <w:t>Resolutora</w:t>
      </w:r>
      <w:proofErr w:type="spellEnd"/>
      <w:r w:rsidRPr="00A305AC">
        <w:rPr>
          <w:rFonts w:ascii="Palatino Linotype" w:hAnsi="Palatino Linotype" w:cs="Arial"/>
        </w:rPr>
        <w:t xml:space="preserve"> se precisa que </w:t>
      </w:r>
      <w:r w:rsidRPr="00A305AC">
        <w:rPr>
          <w:rFonts w:ascii="Palatino Linotype" w:hAnsi="Palatino Linotype" w:cs="Arial"/>
          <w:b/>
        </w:rPr>
        <w:t>EL SUJETO OBLIGADO</w:t>
      </w:r>
      <w:r w:rsidRPr="00A305AC">
        <w:rPr>
          <w:rFonts w:ascii="Palatino Linotype" w:hAnsi="Palatino Linotype" w:cs="Arial"/>
        </w:rPr>
        <w:t xml:space="preserve"> en la respuesta proporcionó documentos e información que</w:t>
      </w:r>
      <w:r>
        <w:rPr>
          <w:rFonts w:ascii="Palatino Linotype" w:hAnsi="Palatino Linotype" w:cs="Arial"/>
        </w:rPr>
        <w:t xml:space="preserve"> no satisficieron </w:t>
      </w:r>
      <w:r w:rsidRPr="00A305AC">
        <w:rPr>
          <w:rFonts w:ascii="Palatino Linotype" w:hAnsi="Palatino Linotype" w:cs="Arial"/>
        </w:rPr>
        <w:t xml:space="preserve">ni total ni parcialmente la información requerida, lo que resulta infundado, toda vez que </w:t>
      </w:r>
      <w:r w:rsidRPr="00A305AC">
        <w:rPr>
          <w:rFonts w:ascii="Palatino Linotype" w:hAnsi="Palatino Linotype" w:cs="Arial"/>
          <w:b/>
        </w:rPr>
        <w:t>EL SUJETO OBLIGADO</w:t>
      </w:r>
      <w:r w:rsidRPr="00A305AC">
        <w:rPr>
          <w:rFonts w:ascii="Palatino Linotype" w:hAnsi="Palatino Linotype" w:cs="Arial"/>
        </w:rPr>
        <w:t xml:space="preserve"> si colmó </w:t>
      </w:r>
      <w:r>
        <w:rPr>
          <w:rFonts w:ascii="Palatino Linotype" w:hAnsi="Palatino Linotype" w:cs="Arial"/>
        </w:rPr>
        <w:t xml:space="preserve">algunos </w:t>
      </w:r>
      <w:r w:rsidRPr="00A305AC">
        <w:rPr>
          <w:rFonts w:ascii="Palatino Linotype" w:hAnsi="Palatino Linotype" w:cs="Arial"/>
        </w:rPr>
        <w:t>rubro</w:t>
      </w:r>
      <w:r>
        <w:rPr>
          <w:rFonts w:ascii="Palatino Linotype" w:hAnsi="Palatino Linotype" w:cs="Arial"/>
        </w:rPr>
        <w:t>s</w:t>
      </w:r>
      <w:r w:rsidRPr="00A305AC">
        <w:rPr>
          <w:rFonts w:ascii="Palatino Linotype" w:hAnsi="Palatino Linotype" w:cs="Arial"/>
        </w:rPr>
        <w:t xml:space="preserve"> de la solicitud del particular, es decir, lo concerniente </w:t>
      </w:r>
      <w:r>
        <w:rPr>
          <w:rFonts w:ascii="Palatino Linotype" w:hAnsi="Palatino Linotype" w:cs="Arial"/>
        </w:rPr>
        <w:t>a las listas de asistencia y oficios de solicitud referentes a platicas de equidad de género y convivencia escolar de los años 2017 y 2018</w:t>
      </w:r>
      <w:r w:rsidR="0062438D">
        <w:rPr>
          <w:rFonts w:ascii="Palatino Linotype" w:hAnsi="Palatino Linotype" w:cs="Arial"/>
        </w:rPr>
        <w:t>;</w:t>
      </w:r>
      <w:r>
        <w:rPr>
          <w:rFonts w:ascii="Palatino Linotype" w:hAnsi="Palatino Linotype" w:cs="Arial"/>
        </w:rPr>
        <w:t xml:space="preserve"> sin embargo estos documentos no se encuentran digitalizados ya que no está dentro de las obligaciones del </w:t>
      </w:r>
      <w:r w:rsidRPr="00C922CE">
        <w:rPr>
          <w:rFonts w:ascii="Palatino Linotype" w:hAnsi="Palatino Linotype" w:cs="Arial"/>
          <w:b/>
        </w:rPr>
        <w:t>SUJETO OBLIGADO</w:t>
      </w:r>
      <w:r>
        <w:rPr>
          <w:rFonts w:ascii="Palatino Linotype" w:hAnsi="Palatino Linotype" w:cs="Arial"/>
        </w:rPr>
        <w:t>, motivo por el cual requirió el pago de la cantidad de $ 79.00 (setenta y nueve pesos 20/100 M.N), esto en razón de que el costo por el escaneo y digitalización de cada hoja relativa a los documentos que sean entregados es de $0.60 (sesenta centavos)</w:t>
      </w:r>
      <w:r w:rsidR="0024620C">
        <w:rPr>
          <w:rFonts w:ascii="Palatino Linotype" w:hAnsi="Palatino Linotype" w:cs="Arial"/>
        </w:rPr>
        <w:t xml:space="preserve"> de conformidad con los artículos 9, fracción III, 17, 165, 174 y 175 de la Ley de Transparencia y Acceso a la Información Pública del Estado de México y Municipios y en relevancia con el artículo 73 fracción VI del Código Financiero del Estado de México</w:t>
      </w:r>
      <w:r w:rsidR="0024620C">
        <w:rPr>
          <w:rStyle w:val="Refdenotaalpie"/>
          <w:rFonts w:ascii="Palatino Linotype" w:hAnsi="Palatino Linotype" w:cs="Arial"/>
        </w:rPr>
        <w:footnoteReference w:id="1"/>
      </w:r>
      <w:r w:rsidRPr="00A305AC">
        <w:rPr>
          <w:rFonts w:ascii="Palatino Linotype" w:hAnsi="Palatino Linotype" w:cs="Arial"/>
        </w:rPr>
        <w:t xml:space="preserve">; por lo tanto, para la suscrita lo conducente era </w:t>
      </w:r>
      <w:r w:rsidRPr="00A305AC">
        <w:rPr>
          <w:rFonts w:ascii="Palatino Linotype" w:hAnsi="Palatino Linotype" w:cs="Arial"/>
          <w:b/>
        </w:rPr>
        <w:t>MODIFICAR</w:t>
      </w:r>
      <w:r w:rsidRPr="00A305AC">
        <w:rPr>
          <w:rFonts w:ascii="Palatino Linotype" w:hAnsi="Palatino Linotype" w:cs="Arial"/>
        </w:rPr>
        <w:t xml:space="preserve"> la</w:t>
      </w:r>
      <w:r w:rsidR="00C922CE">
        <w:rPr>
          <w:rFonts w:ascii="Palatino Linotype" w:hAnsi="Palatino Linotype" w:cs="Arial"/>
        </w:rPr>
        <w:t>s</w:t>
      </w:r>
      <w:r w:rsidRPr="00A305AC">
        <w:rPr>
          <w:rFonts w:ascii="Palatino Linotype" w:hAnsi="Palatino Linotype" w:cs="Arial"/>
        </w:rPr>
        <w:t xml:space="preserve"> respuesta</w:t>
      </w:r>
      <w:r w:rsidR="00C922CE">
        <w:rPr>
          <w:rFonts w:ascii="Palatino Linotype" w:hAnsi="Palatino Linotype" w:cs="Arial"/>
        </w:rPr>
        <w:t>s</w:t>
      </w:r>
      <w:r w:rsidRPr="00A305AC">
        <w:rPr>
          <w:rFonts w:ascii="Palatino Linotype" w:hAnsi="Palatino Linotype" w:cs="Arial"/>
        </w:rPr>
        <w:t xml:space="preserve"> del </w:t>
      </w:r>
      <w:r w:rsidRPr="00A305AC">
        <w:rPr>
          <w:rFonts w:ascii="Palatino Linotype" w:hAnsi="Palatino Linotype" w:cs="Arial"/>
          <w:b/>
        </w:rPr>
        <w:t xml:space="preserve">SUJETO OBLIGADO, </w:t>
      </w:r>
      <w:r w:rsidRPr="00A305AC">
        <w:rPr>
          <w:rFonts w:ascii="Palatino Linotype" w:hAnsi="Palatino Linotype" w:cs="Arial"/>
        </w:rPr>
        <w:t xml:space="preserve">pues se insiste que, toda vez que </w:t>
      </w:r>
      <w:r w:rsidRPr="00A305AC">
        <w:rPr>
          <w:rFonts w:ascii="Palatino Linotype" w:hAnsi="Palatino Linotype" w:cs="Arial"/>
        </w:rPr>
        <w:lastRenderedPageBreak/>
        <w:t>la</w:t>
      </w:r>
      <w:r w:rsidR="00C922CE">
        <w:rPr>
          <w:rFonts w:ascii="Palatino Linotype" w:hAnsi="Palatino Linotype" w:cs="Arial"/>
        </w:rPr>
        <w:t xml:space="preserve"> información que fue proporcionada </w:t>
      </w:r>
      <w:r w:rsidRPr="00A305AC">
        <w:rPr>
          <w:rFonts w:ascii="Palatino Linotype" w:hAnsi="Palatino Linotype" w:cs="Arial"/>
        </w:rPr>
        <w:t>colma de manera parcial la</w:t>
      </w:r>
      <w:r w:rsidR="009B4C76">
        <w:rPr>
          <w:rFonts w:ascii="Palatino Linotype" w:hAnsi="Palatino Linotype" w:cs="Arial"/>
        </w:rPr>
        <w:t>s</w:t>
      </w:r>
      <w:r w:rsidRPr="00A305AC">
        <w:rPr>
          <w:rFonts w:ascii="Palatino Linotype" w:hAnsi="Palatino Linotype" w:cs="Arial"/>
        </w:rPr>
        <w:t xml:space="preserve"> solicitud</w:t>
      </w:r>
      <w:r w:rsidR="009B4C76">
        <w:rPr>
          <w:rFonts w:ascii="Palatino Linotype" w:hAnsi="Palatino Linotype" w:cs="Arial"/>
        </w:rPr>
        <w:t>es</w:t>
      </w:r>
      <w:r w:rsidRPr="00A305AC">
        <w:rPr>
          <w:rFonts w:ascii="Palatino Linotype" w:hAnsi="Palatino Linotype" w:cs="Arial"/>
        </w:rPr>
        <w:t xml:space="preserve"> de información pública, </w:t>
      </w:r>
      <w:r w:rsidR="00C922CE">
        <w:rPr>
          <w:rFonts w:ascii="Palatino Linotype" w:hAnsi="Palatino Linotype" w:cs="Arial"/>
        </w:rPr>
        <w:t xml:space="preserve">por lo que se debió </w:t>
      </w:r>
      <w:r w:rsidRPr="00A305AC">
        <w:rPr>
          <w:rFonts w:ascii="Palatino Linotype" w:hAnsi="Palatino Linotype" w:cs="Arial"/>
        </w:rPr>
        <w:t>ordenar la entrega de la información faltante.</w:t>
      </w:r>
      <w:r w:rsidRPr="00A305AC">
        <w:rPr>
          <w:rFonts w:ascii="Palatino Linotype" w:hAnsi="Palatino Linotype" w:cs="Arial"/>
          <w:b/>
        </w:rPr>
        <w:t xml:space="preserve"> </w:t>
      </w:r>
    </w:p>
    <w:p w:rsidR="00590E49" w:rsidRDefault="00B139C4" w:rsidP="00590E49">
      <w:pPr>
        <w:spacing w:before="100" w:beforeAutospacing="1" w:after="100" w:afterAutospacing="1" w:line="360" w:lineRule="auto"/>
        <w:jc w:val="both"/>
        <w:rPr>
          <w:rFonts w:ascii="Palatino Linotype" w:hAnsi="Palatino Linotype"/>
        </w:rPr>
      </w:pPr>
      <w:r>
        <w:rPr>
          <w:rFonts w:ascii="Palatino Linotype" w:hAnsi="Palatino Linotype"/>
        </w:rPr>
        <w:t xml:space="preserve">Ahora bien, </w:t>
      </w:r>
      <w:r w:rsidR="00590E49">
        <w:rPr>
          <w:rFonts w:ascii="Palatino Linotype" w:hAnsi="Palatino Linotype"/>
        </w:rPr>
        <w:t xml:space="preserve">por otro lado y </w:t>
      </w:r>
      <w:r>
        <w:rPr>
          <w:rFonts w:ascii="Palatino Linotype" w:hAnsi="Palatino Linotype"/>
        </w:rPr>
        <w:t>en razón al pronunciamiento señalado en e</w:t>
      </w:r>
      <w:r w:rsidR="009B4C76">
        <w:rPr>
          <w:rFonts w:ascii="Palatino Linotype" w:hAnsi="Palatino Linotype"/>
        </w:rPr>
        <w:t>l resolutivo SEGUNDO</w:t>
      </w:r>
      <w:r w:rsidR="00590E49">
        <w:rPr>
          <w:rFonts w:ascii="Palatino Linotype" w:hAnsi="Palatino Linotype"/>
        </w:rPr>
        <w:t>,</w:t>
      </w:r>
      <w:r>
        <w:rPr>
          <w:rFonts w:ascii="Palatino Linotype" w:hAnsi="Palatino Linotype"/>
        </w:rPr>
        <w:t xml:space="preserve"> la suscrita advierte </w:t>
      </w:r>
      <w:r w:rsidR="000275A2">
        <w:rPr>
          <w:rFonts w:ascii="Palatino Linotype" w:hAnsi="Palatino Linotype"/>
        </w:rPr>
        <w:t xml:space="preserve">que </w:t>
      </w:r>
      <w:r w:rsidR="00590E49">
        <w:rPr>
          <w:rFonts w:ascii="Palatino Linotype" w:hAnsi="Palatino Linotype" w:cs="Arial"/>
        </w:rPr>
        <w:t xml:space="preserve">debió ordenarse tanto la baja documental como el Acuerdo de Inexistencia de la información para el caso de que la </w:t>
      </w:r>
      <w:r w:rsidR="00C922CE">
        <w:rPr>
          <w:rFonts w:ascii="Palatino Linotype" w:hAnsi="Palatino Linotype" w:cs="Arial"/>
        </w:rPr>
        <w:t xml:space="preserve">información que se ordena </w:t>
      </w:r>
      <w:r w:rsidR="00590E49">
        <w:rPr>
          <w:rFonts w:ascii="Palatino Linotype" w:hAnsi="Palatino Linotype" w:cs="Arial"/>
        </w:rPr>
        <w:t xml:space="preserve">no obrara dentro de los archivos del </w:t>
      </w:r>
      <w:r w:rsidR="00590E49">
        <w:rPr>
          <w:rFonts w:ascii="Palatino Linotype" w:hAnsi="Palatino Linotype" w:cs="Arial"/>
          <w:b/>
        </w:rPr>
        <w:t>SUJETO OBLIGADO</w:t>
      </w:r>
      <w:r w:rsidR="00590E49" w:rsidRPr="009B4C76">
        <w:rPr>
          <w:rFonts w:ascii="Palatino Linotype" w:hAnsi="Palatino Linotype" w:cs="Arial"/>
        </w:rPr>
        <w:t>;</w:t>
      </w:r>
      <w:r w:rsidR="00590E49">
        <w:rPr>
          <w:rFonts w:ascii="Palatino Linotype" w:hAnsi="Palatino Linotype" w:cs="Arial"/>
          <w:b/>
        </w:rPr>
        <w:t xml:space="preserve"> </w:t>
      </w:r>
      <w:r w:rsidR="00590E49">
        <w:rPr>
          <w:rFonts w:ascii="Palatino Linotype" w:hAnsi="Palatino Linotype" w:cs="Arial"/>
        </w:rPr>
        <w:t>l</w:t>
      </w:r>
      <w:r w:rsidR="00590E49" w:rsidRPr="004565D6">
        <w:rPr>
          <w:rFonts w:ascii="Palatino Linotype" w:hAnsi="Palatino Linotype" w:cs="Arial"/>
        </w:rPr>
        <w:t>o anterior</w:t>
      </w:r>
      <w:r w:rsidR="00590E49">
        <w:rPr>
          <w:rFonts w:ascii="Palatino Linotype" w:hAnsi="Palatino Linotype" w:cs="Arial"/>
        </w:rPr>
        <w:t>,</w:t>
      </w:r>
      <w:r w:rsidR="00590E49" w:rsidRPr="004565D6">
        <w:rPr>
          <w:rFonts w:ascii="Palatino Linotype" w:hAnsi="Palatino Linotype" w:cs="Arial"/>
        </w:rPr>
        <w:t xml:space="preserve"> obedece a que</w:t>
      </w:r>
      <w:r w:rsidR="00590E49">
        <w:rPr>
          <w:rFonts w:ascii="Palatino Linotype" w:hAnsi="Palatino Linotype"/>
        </w:rPr>
        <w:t xml:space="preserve"> la Ley de Documentos Administrativos e Históricos del Estado de México establece cuáles serán los </w:t>
      </w:r>
      <w:r w:rsidR="00590E49" w:rsidRPr="00AF2B86">
        <w:rPr>
          <w:rFonts w:ascii="Palatino Linotype" w:hAnsi="Palatino Linotype"/>
          <w:b/>
        </w:rPr>
        <w:t>sistemas de control y apoyo técnico para la clasificación, catalogación, conservación, reproducción, resguardo y depuración de los documentos con valor histórico</w:t>
      </w:r>
      <w:r w:rsidR="00590E49">
        <w:rPr>
          <w:rFonts w:ascii="Palatino Linotype" w:hAnsi="Palatino Linotype"/>
        </w:rPr>
        <w:t>, con señalamiento de las áreas de fumigación, restauración y encuadernación, tal como se aprecia a continuación:</w:t>
      </w:r>
    </w:p>
    <w:p w:rsidR="00590E49" w:rsidRPr="00580DE2" w:rsidRDefault="00590E49" w:rsidP="00590E49">
      <w:pPr>
        <w:pStyle w:val="Sinespaciado"/>
        <w:ind w:left="851" w:right="899"/>
        <w:jc w:val="both"/>
        <w:rPr>
          <w:rFonts w:ascii="Palatino Linotype" w:hAnsi="Palatino Linotype" w:cs="Arial"/>
          <w:i/>
          <w:sz w:val="22"/>
          <w:szCs w:val="22"/>
        </w:rPr>
      </w:pPr>
      <w:r>
        <w:rPr>
          <w:rFonts w:ascii="Palatino Linotype" w:hAnsi="Palatino Linotype" w:cs="Arial"/>
          <w:b/>
          <w:i/>
          <w:sz w:val="22"/>
          <w:szCs w:val="22"/>
        </w:rPr>
        <w:t>“</w:t>
      </w:r>
      <w:r w:rsidRPr="00580DE2">
        <w:rPr>
          <w:rFonts w:ascii="Palatino Linotype" w:hAnsi="Palatino Linotype" w:cs="Arial"/>
          <w:b/>
          <w:i/>
          <w:sz w:val="22"/>
          <w:szCs w:val="22"/>
        </w:rPr>
        <w:t>Artículo 8.-</w:t>
      </w:r>
      <w:r w:rsidRPr="00580DE2">
        <w:rPr>
          <w:rFonts w:ascii="Palatino Linotype" w:hAnsi="Palatino Linotype" w:cs="Arial"/>
          <w:i/>
          <w:sz w:val="22"/>
          <w:szCs w:val="22"/>
        </w:rPr>
        <w:t xml:space="preserve"> </w:t>
      </w:r>
      <w:r w:rsidRPr="00580DE2">
        <w:rPr>
          <w:rFonts w:ascii="Palatino Linotype" w:hAnsi="Palatino Linotype" w:cs="Arial"/>
          <w:b/>
          <w:i/>
          <w:sz w:val="22"/>
          <w:szCs w:val="22"/>
        </w:rPr>
        <w:t>Los documentos de contenido administrativo de importancia, serán conservados por 20 años,</w:t>
      </w:r>
      <w:r w:rsidRPr="00580DE2">
        <w:rPr>
          <w:rFonts w:ascii="Palatino Linotype" w:hAnsi="Palatino Linotype" w:cs="Arial"/>
          <w:i/>
          <w:sz w:val="22"/>
          <w:szCs w:val="22"/>
        </w:rPr>
        <w:t xml:space="preserve"> y si el documento se vincula con las funciones de 2 </w:t>
      </w:r>
      <w:r w:rsidR="000275A2" w:rsidRPr="00580DE2">
        <w:rPr>
          <w:rFonts w:ascii="Palatino Linotype" w:hAnsi="Palatino Linotype" w:cs="Arial"/>
          <w:i/>
          <w:sz w:val="22"/>
          <w:szCs w:val="22"/>
        </w:rPr>
        <w:t>o</w:t>
      </w:r>
      <w:r w:rsidRPr="00580DE2">
        <w:rPr>
          <w:rFonts w:ascii="Palatino Linotype" w:hAnsi="Palatino Linotype" w:cs="Arial"/>
          <w:i/>
          <w:sz w:val="22"/>
          <w:szCs w:val="22"/>
        </w:rPr>
        <w:t xml:space="preserve"> más sujetos públicos, deberá transmitirse la información correspondiente, para el efecto, del proceso o vaciado en otros documentos. </w:t>
      </w:r>
    </w:p>
    <w:p w:rsidR="00590E49" w:rsidRDefault="00590E49" w:rsidP="00590E49">
      <w:pPr>
        <w:pStyle w:val="Sinespaciado"/>
        <w:ind w:left="851" w:right="899"/>
        <w:jc w:val="both"/>
        <w:rPr>
          <w:rFonts w:ascii="Palatino Linotype" w:hAnsi="Palatino Linotype" w:cs="Arial"/>
          <w:i/>
          <w:sz w:val="22"/>
          <w:szCs w:val="22"/>
        </w:rPr>
      </w:pPr>
      <w:r w:rsidRPr="00580DE2">
        <w:rPr>
          <w:rFonts w:ascii="Palatino Linotype" w:hAnsi="Palatino Linotype" w:cs="Arial"/>
          <w:b/>
          <w:i/>
          <w:sz w:val="22"/>
          <w:szCs w:val="22"/>
        </w:rPr>
        <w:t>Ningún documento podrá ser destruido, a menos, que, por escrito, lo determine la instancia facultada para ese efecto, en términos de la presente Ley</w:t>
      </w:r>
      <w:r>
        <w:rPr>
          <w:rFonts w:ascii="Palatino Linotype" w:hAnsi="Palatino Linotype" w:cs="Arial"/>
          <w:i/>
          <w:sz w:val="22"/>
          <w:szCs w:val="22"/>
        </w:rPr>
        <w:t>.”</w:t>
      </w:r>
    </w:p>
    <w:p w:rsidR="00590E49" w:rsidRPr="00580DE2" w:rsidRDefault="00590E49" w:rsidP="00590E49">
      <w:pPr>
        <w:pStyle w:val="Sinespaciado"/>
        <w:ind w:left="851" w:right="899"/>
        <w:jc w:val="both"/>
        <w:rPr>
          <w:rFonts w:ascii="Palatino Linotype" w:hAnsi="Palatino Linotype" w:cs="Arial"/>
          <w:i/>
          <w:sz w:val="22"/>
          <w:szCs w:val="22"/>
        </w:rPr>
      </w:pPr>
      <w:r>
        <w:rPr>
          <w:rFonts w:ascii="Palatino Linotype" w:hAnsi="Palatino Linotype" w:cs="Arial"/>
          <w:i/>
          <w:sz w:val="22"/>
          <w:szCs w:val="22"/>
        </w:rPr>
        <w:t>(Énfasis añadido)</w:t>
      </w:r>
    </w:p>
    <w:p w:rsidR="00590E49" w:rsidRDefault="00590E49" w:rsidP="00590E49">
      <w:pPr>
        <w:pStyle w:val="Prrafodelista"/>
        <w:tabs>
          <w:tab w:val="left" w:pos="851"/>
        </w:tabs>
        <w:spacing w:before="240" w:after="240" w:line="360" w:lineRule="auto"/>
        <w:ind w:left="0" w:right="49"/>
        <w:jc w:val="both"/>
        <w:rPr>
          <w:rFonts w:ascii="Palatino Linotype" w:hAnsi="Palatino Linotype" w:cs="Arial"/>
        </w:rPr>
      </w:pPr>
      <w:r w:rsidRPr="007B69B1">
        <w:rPr>
          <w:rFonts w:ascii="Palatino Linotype" w:hAnsi="Palatino Linotype" w:cs="Arial"/>
        </w:rPr>
        <w:t>Aunado a ello, la Ley de Transparencia y Acceso a la Información Pública del Estado de México y Municipios</w:t>
      </w:r>
      <w:r>
        <w:rPr>
          <w:rFonts w:ascii="Palatino Linotype" w:hAnsi="Palatino Linotype" w:cs="Arial"/>
        </w:rPr>
        <w:t>, en su</w:t>
      </w:r>
      <w:r w:rsidRPr="007B69B1">
        <w:rPr>
          <w:rFonts w:ascii="Palatino Linotype" w:hAnsi="Palatino Linotype" w:cs="Arial"/>
        </w:rPr>
        <w:t xml:space="preserve"> artículo 3, fracción XI, </w:t>
      </w:r>
      <w:r>
        <w:rPr>
          <w:rFonts w:ascii="Palatino Linotype" w:hAnsi="Palatino Linotype" w:cs="Arial"/>
        </w:rPr>
        <w:t>establece</w:t>
      </w:r>
      <w:r w:rsidRPr="007B69B1">
        <w:rPr>
          <w:rFonts w:ascii="Palatino Linotype" w:hAnsi="Palatino Linotype" w:cs="Arial"/>
        </w:rPr>
        <w:t xml:space="preserve"> de manera literal lo siguiente:</w:t>
      </w:r>
    </w:p>
    <w:p w:rsidR="00590E49" w:rsidRPr="007B69B1" w:rsidRDefault="00590E49" w:rsidP="00590E49">
      <w:pPr>
        <w:ind w:left="851" w:right="899"/>
        <w:jc w:val="both"/>
        <w:rPr>
          <w:rFonts w:ascii="Palatino Linotype" w:hAnsi="Palatino Linotype" w:cs="Arial"/>
          <w:b/>
          <w:i/>
          <w:sz w:val="22"/>
          <w:szCs w:val="20"/>
        </w:rPr>
      </w:pPr>
      <w:r w:rsidRPr="007B69B1">
        <w:rPr>
          <w:rFonts w:ascii="Palatino Linotype" w:hAnsi="Palatino Linotype" w:cs="Arial"/>
          <w:b/>
          <w:i/>
          <w:sz w:val="22"/>
          <w:szCs w:val="20"/>
        </w:rPr>
        <w:t>Ley de Transparencia y Acceso a la Información Pública del Estado de México y Municipios</w:t>
      </w:r>
    </w:p>
    <w:p w:rsidR="00590E49" w:rsidRPr="007B69B1" w:rsidRDefault="00590E49" w:rsidP="00590E49">
      <w:pPr>
        <w:ind w:left="851" w:right="899"/>
        <w:jc w:val="both"/>
        <w:rPr>
          <w:rFonts w:ascii="Palatino Linotype" w:hAnsi="Palatino Linotype" w:cs="Arial"/>
          <w:i/>
          <w:sz w:val="22"/>
          <w:szCs w:val="20"/>
        </w:rPr>
      </w:pPr>
      <w:r w:rsidRPr="007B69B1">
        <w:rPr>
          <w:rFonts w:ascii="Palatino Linotype" w:hAnsi="Palatino Linotype" w:cs="Arial"/>
          <w:b/>
          <w:i/>
          <w:sz w:val="22"/>
          <w:szCs w:val="20"/>
        </w:rPr>
        <w:t>Artículo 3.</w:t>
      </w:r>
      <w:r w:rsidRPr="007B69B1">
        <w:rPr>
          <w:rFonts w:ascii="Palatino Linotype" w:hAnsi="Palatino Linotype" w:cs="Arial"/>
          <w:i/>
          <w:sz w:val="22"/>
          <w:szCs w:val="20"/>
        </w:rPr>
        <w:t xml:space="preserve"> Para los efectos de la presente Ley se entenderá por:</w:t>
      </w:r>
    </w:p>
    <w:p w:rsidR="00590E49" w:rsidRPr="007B69B1" w:rsidRDefault="00590E49" w:rsidP="00590E49">
      <w:pPr>
        <w:ind w:left="851" w:right="899"/>
        <w:jc w:val="both"/>
        <w:rPr>
          <w:rFonts w:ascii="Palatino Linotype" w:hAnsi="Palatino Linotype" w:cs="Arial"/>
          <w:i/>
          <w:sz w:val="22"/>
          <w:szCs w:val="20"/>
        </w:rPr>
      </w:pPr>
      <w:r w:rsidRPr="007B69B1">
        <w:rPr>
          <w:rFonts w:ascii="Palatino Linotype" w:hAnsi="Palatino Linotype" w:cs="Arial"/>
          <w:i/>
          <w:sz w:val="22"/>
          <w:szCs w:val="20"/>
        </w:rPr>
        <w:lastRenderedPageBreak/>
        <w:t>…</w:t>
      </w:r>
    </w:p>
    <w:p w:rsidR="00590E49" w:rsidRPr="007B69B1" w:rsidRDefault="00590E49" w:rsidP="00590E49">
      <w:pPr>
        <w:ind w:left="851" w:right="899"/>
        <w:jc w:val="both"/>
        <w:rPr>
          <w:rFonts w:ascii="Palatino Linotype" w:hAnsi="Palatino Linotype" w:cs="Arial"/>
          <w:i/>
          <w:sz w:val="22"/>
          <w:szCs w:val="20"/>
        </w:rPr>
      </w:pPr>
      <w:r w:rsidRPr="007B69B1">
        <w:rPr>
          <w:rFonts w:ascii="Palatino Linotype" w:hAnsi="Palatino Linotype" w:cs="Arial"/>
          <w:b/>
          <w:i/>
          <w:sz w:val="22"/>
          <w:szCs w:val="20"/>
        </w:rPr>
        <w:t>XI.</w:t>
      </w:r>
      <w:r w:rsidRPr="007B69B1">
        <w:rPr>
          <w:rFonts w:ascii="Palatino Linotype" w:hAnsi="Palatino Linotype" w:cs="Arial"/>
          <w:i/>
          <w:sz w:val="22"/>
          <w:szCs w:val="20"/>
        </w:rPr>
        <w:t xml:space="preserve"> </w:t>
      </w:r>
      <w:r w:rsidRPr="007B69B1">
        <w:rPr>
          <w:rFonts w:ascii="Palatino Linotype" w:hAnsi="Palatino Linotype" w:cs="Arial"/>
          <w:b/>
          <w:i/>
          <w:sz w:val="22"/>
          <w:szCs w:val="20"/>
        </w:rPr>
        <w:t>Documento:</w:t>
      </w:r>
      <w:r w:rsidRPr="007B69B1">
        <w:rPr>
          <w:rFonts w:ascii="Palatino Linotype" w:hAnsi="Palatino Linotype" w:cs="Arial"/>
          <w:i/>
          <w:sz w:val="22"/>
          <w:szCs w:val="2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w:t>
      </w:r>
      <w:r>
        <w:rPr>
          <w:rFonts w:ascii="Palatino Linotype" w:hAnsi="Palatino Linotype" w:cs="Arial"/>
          <w:i/>
          <w:sz w:val="22"/>
          <w:szCs w:val="20"/>
        </w:rPr>
        <w:t xml:space="preserve"> </w:t>
      </w:r>
      <w:r w:rsidRPr="007B69B1">
        <w:rPr>
          <w:rFonts w:ascii="Palatino Linotype" w:hAnsi="Palatino Linotype" w:cs="Arial"/>
          <w:i/>
          <w:sz w:val="22"/>
          <w:szCs w:val="20"/>
        </w:rPr>
        <w:t>elaboración. Los documentos podrán estar en cualquier medio, sea escrito, impreso, sonoro, visual, electrónico, informático u holográfico;</w:t>
      </w:r>
    </w:p>
    <w:p w:rsidR="0042308E" w:rsidRDefault="00590E49" w:rsidP="00590E4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tanto, a criterio de la que suscribe lo procedente era señalar en resolutivos que para el caso de que </w:t>
      </w:r>
      <w:r w:rsidR="009B4C76" w:rsidRPr="009B4C76">
        <w:rPr>
          <w:rFonts w:ascii="Palatino Linotype" w:hAnsi="Palatino Linotype" w:cs="Arial"/>
          <w:b/>
        </w:rPr>
        <w:t>EL</w:t>
      </w:r>
      <w:r>
        <w:rPr>
          <w:rFonts w:ascii="Palatino Linotype" w:hAnsi="Palatino Linotype" w:cs="Arial"/>
        </w:rPr>
        <w:t xml:space="preserve"> </w:t>
      </w:r>
      <w:r>
        <w:rPr>
          <w:rFonts w:ascii="Palatino Linotype" w:hAnsi="Palatino Linotype" w:cs="Arial"/>
          <w:b/>
        </w:rPr>
        <w:t xml:space="preserve">SUJETO OBLIGADO </w:t>
      </w:r>
      <w:r w:rsidR="009B4C76">
        <w:rPr>
          <w:rFonts w:ascii="Palatino Linotype" w:hAnsi="Palatino Linotype" w:cs="Arial"/>
        </w:rPr>
        <w:t xml:space="preserve">no </w:t>
      </w:r>
      <w:r>
        <w:rPr>
          <w:rFonts w:ascii="Palatino Linotype" w:hAnsi="Palatino Linotype" w:cs="Arial"/>
        </w:rPr>
        <w:t xml:space="preserve">localizara la información de la que se ordena la entrega, debería </w:t>
      </w:r>
      <w:r w:rsidR="00C922CE">
        <w:rPr>
          <w:rFonts w:ascii="Palatino Linotype" w:hAnsi="Palatino Linotype" w:cs="Arial"/>
        </w:rPr>
        <w:t xml:space="preserve">remitir tanto el acta de </w:t>
      </w:r>
      <w:r>
        <w:rPr>
          <w:rFonts w:ascii="Palatino Linotype" w:hAnsi="Palatino Linotype" w:cs="Arial"/>
        </w:rPr>
        <w:t>baja documental como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sidR="00C922CE">
        <w:rPr>
          <w:rFonts w:ascii="Palatino Linotype" w:hAnsi="Palatino Linotype"/>
          <w:color w:val="222222"/>
        </w:rPr>
        <w:t>.</w:t>
      </w:r>
      <w:r>
        <w:rPr>
          <w:rFonts w:ascii="Palatino Linotype" w:hAnsi="Palatino Linotype" w:cs="Arial"/>
        </w:rPr>
        <w:t xml:space="preserve"> </w:t>
      </w:r>
      <w:r w:rsidR="00C922CE">
        <w:rPr>
          <w:rFonts w:ascii="Palatino Linotype" w:hAnsi="Palatino Linotype" w:cs="Arial"/>
        </w:rPr>
        <w:t xml:space="preserve">Esto, </w:t>
      </w:r>
      <w:r>
        <w:rPr>
          <w:rFonts w:ascii="Palatino Linotype" w:hAnsi="Palatino Linotype" w:cs="Arial"/>
        </w:rPr>
        <w:t xml:space="preserve">en razón </w:t>
      </w:r>
      <w:r w:rsidR="0042308E">
        <w:rPr>
          <w:rFonts w:ascii="Palatino Linotype" w:hAnsi="Palatino Linotype" w:cs="Arial"/>
        </w:rPr>
        <w:t xml:space="preserve">que ante la falta de pronunciamiento de la totalidad de los años de la información en que fue generada es que la Ponencia </w:t>
      </w:r>
      <w:proofErr w:type="spellStart"/>
      <w:r w:rsidR="0042308E">
        <w:rPr>
          <w:rFonts w:ascii="Palatino Linotype" w:hAnsi="Palatino Linotype" w:cs="Arial"/>
        </w:rPr>
        <w:t>Resolutora</w:t>
      </w:r>
      <w:proofErr w:type="spellEnd"/>
      <w:r w:rsidR="0042308E">
        <w:rPr>
          <w:rFonts w:ascii="Palatino Linotype" w:hAnsi="Palatino Linotype" w:cs="Arial"/>
        </w:rPr>
        <w:t xml:space="preserve"> debió analizar </w:t>
      </w:r>
      <w:r w:rsidR="0042308E" w:rsidRPr="0042308E">
        <w:rPr>
          <w:rFonts w:ascii="Palatino Linotype" w:hAnsi="Palatino Linotype" w:cs="Arial"/>
        </w:rPr>
        <w:t>los plazos de conservación en el Archivo de Concentración</w:t>
      </w:r>
      <w:r w:rsidR="0042308E">
        <w:rPr>
          <w:rFonts w:ascii="Palatino Linotype" w:hAnsi="Palatino Linotype" w:cs="Arial"/>
        </w:rPr>
        <w:t xml:space="preserve">. </w:t>
      </w:r>
    </w:p>
    <w:p w:rsidR="00590E49" w:rsidRDefault="00590E49" w:rsidP="00590E49">
      <w:pPr>
        <w:spacing w:before="100" w:beforeAutospacing="1" w:after="100" w:afterAutospacing="1" w:line="360" w:lineRule="auto"/>
        <w:jc w:val="both"/>
        <w:rPr>
          <w:rFonts w:ascii="Palatino Linotype" w:hAnsi="Palatino Linotype" w:cs="Arial"/>
        </w:rPr>
      </w:pPr>
      <w:r>
        <w:rPr>
          <w:rFonts w:ascii="Palatino Linotype" w:hAnsi="Palatino Linotype" w:cs="Arial"/>
        </w:rPr>
        <w:t>Sirve de sustento a lo anterior, el Criterio orientador número 14/09 emitido por el entonces Instituto Federal de Acceso a la Información Pública (IFAI), ahora Instituto Nacional de Acceso a la Información Pública y Protección de Datos Personales (INAI), que a la letra señala:</w:t>
      </w:r>
    </w:p>
    <w:p w:rsidR="00590E49" w:rsidRPr="00065724" w:rsidRDefault="00590E49" w:rsidP="00590E49">
      <w:pPr>
        <w:spacing w:before="74"/>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lastRenderedPageBreak/>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590E49" w:rsidRPr="00065724" w:rsidRDefault="00590E49" w:rsidP="00590E49">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590E49" w:rsidRPr="00065724" w:rsidRDefault="00590E49" w:rsidP="00590E49">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590E49" w:rsidRPr="00065724" w:rsidRDefault="00590E49" w:rsidP="00590E49">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590E49" w:rsidRPr="00065724" w:rsidRDefault="00590E49" w:rsidP="00590E49">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590E49" w:rsidRPr="00065724" w:rsidRDefault="00590E49" w:rsidP="00590E49">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590E49" w:rsidRPr="00065724" w:rsidRDefault="00590E49" w:rsidP="00590E49">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590E49" w:rsidRPr="00065724" w:rsidRDefault="00590E49" w:rsidP="00590E49">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590E49" w:rsidRPr="00065724" w:rsidRDefault="00590E49" w:rsidP="00590E49">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590E49" w:rsidRPr="00065724" w:rsidRDefault="00590E49" w:rsidP="00590E49">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D15A7F" w:rsidRPr="00E909B0" w:rsidRDefault="00D03753" w:rsidP="00D15A7F">
      <w:pPr>
        <w:pStyle w:val="Prrafodelista"/>
        <w:spacing w:before="100" w:beforeAutospacing="1" w:after="100" w:afterAutospacing="1" w:line="360" w:lineRule="auto"/>
        <w:ind w:left="0" w:right="49"/>
        <w:jc w:val="both"/>
        <w:rPr>
          <w:rFonts w:ascii="Palatino Linotype" w:hAnsi="Palatino Linotype"/>
        </w:rPr>
      </w:pPr>
      <w:r>
        <w:rPr>
          <w:rFonts w:ascii="Palatino Linotype" w:hAnsi="Palatino Linotype" w:cs="Arial"/>
        </w:rPr>
        <w:t>En ese sentido,</w:t>
      </w:r>
      <w:r w:rsidR="00D15A7F" w:rsidRPr="00E909B0">
        <w:rPr>
          <w:rFonts w:ascii="Palatino Linotype" w:hAnsi="Palatino Linotype" w:cs="Arial"/>
        </w:rPr>
        <w:t xml:space="preserve"> </w:t>
      </w:r>
      <w:r>
        <w:rPr>
          <w:rFonts w:ascii="Palatino Linotype" w:hAnsi="Palatino Linotype" w:cs="Arial"/>
        </w:rPr>
        <w:t xml:space="preserve">es que en </w:t>
      </w:r>
      <w:r w:rsidR="00D15A7F" w:rsidRPr="00E909B0">
        <w:rPr>
          <w:rFonts w:ascii="Palatino Linotype" w:hAnsi="Palatino Linotype" w:cs="Arial"/>
        </w:rPr>
        <w:t xml:space="preserve">los </w:t>
      </w:r>
      <w:r w:rsidR="00D15A7F" w:rsidRPr="00E909B0">
        <w:rPr>
          <w:rFonts w:ascii="Palatino Linotype" w:hAnsi="Palatino Linotype"/>
        </w:rPr>
        <w:t xml:space="preserve">Lineamientos por los que se establecen las Políticas y Criterios para realizar la Selección de los Documentos y Expedientes de Trámite Concluido existentes en los Archivos de las Unidades Administrativas de los Poderes del Estado y de los Municipios </w:t>
      </w:r>
      <w:r>
        <w:rPr>
          <w:rFonts w:ascii="Palatino Linotype" w:hAnsi="Palatino Linotype"/>
        </w:rPr>
        <w:t xml:space="preserve">señala </w:t>
      </w:r>
      <w:r w:rsidR="00D15A7F" w:rsidRPr="00E909B0">
        <w:rPr>
          <w:rFonts w:ascii="Palatino Linotype" w:hAnsi="Palatino Linotype"/>
        </w:rPr>
        <w:t>en</w:t>
      </w:r>
      <w:r>
        <w:rPr>
          <w:rFonts w:ascii="Palatino Linotype" w:hAnsi="Palatino Linotype"/>
        </w:rPr>
        <w:t xml:space="preserve"> su numeral 24</w:t>
      </w:r>
      <w:r w:rsidR="00D15A7F" w:rsidRPr="00E909B0">
        <w:rPr>
          <w:rFonts w:ascii="Palatino Linotype" w:hAnsi="Palatino Linotype"/>
        </w:rPr>
        <w:t xml:space="preserve"> lo siguiente:</w:t>
      </w:r>
    </w:p>
    <w:p w:rsidR="00D15A7F" w:rsidRPr="00925411" w:rsidRDefault="00D15A7F" w:rsidP="00D03753">
      <w:pPr>
        <w:ind w:left="851" w:right="902"/>
        <w:jc w:val="both"/>
        <w:rPr>
          <w:rFonts w:ascii="Palatino Linotype" w:hAnsi="Palatino Linotype"/>
          <w:b/>
          <w:i/>
          <w:sz w:val="22"/>
          <w:szCs w:val="22"/>
        </w:rPr>
      </w:pPr>
      <w:r>
        <w:rPr>
          <w:rFonts w:ascii="Palatino Linotype" w:hAnsi="Palatino Linotype"/>
          <w:b/>
          <w:i/>
          <w:sz w:val="22"/>
          <w:szCs w:val="22"/>
        </w:rPr>
        <w:t>“</w:t>
      </w:r>
      <w:r w:rsidRPr="00925411">
        <w:rPr>
          <w:rFonts w:ascii="Palatino Linotype" w:hAnsi="Palatino Linotype"/>
          <w:b/>
          <w:i/>
          <w:sz w:val="22"/>
          <w:szCs w:val="22"/>
        </w:rPr>
        <w:t>Artículo 24.</w:t>
      </w:r>
      <w:r w:rsidRPr="00925411">
        <w:rPr>
          <w:rFonts w:ascii="Palatino Linotype" w:hAnsi="Palatino Linotype"/>
          <w:i/>
          <w:sz w:val="22"/>
          <w:szCs w:val="22"/>
        </w:rPr>
        <w:t xml:space="preserve">- Las unidades administrativas al realizar la transferencia de los expedientes de trámite concluido, señalarán en el "Inventario" </w:t>
      </w:r>
      <w:r w:rsidRPr="00925411">
        <w:rPr>
          <w:rFonts w:ascii="Palatino Linotype" w:hAnsi="Palatino Linotype"/>
          <w:b/>
          <w:i/>
          <w:sz w:val="22"/>
          <w:szCs w:val="22"/>
        </w:rPr>
        <w:t xml:space="preserve">los plazos de conservación </w:t>
      </w:r>
      <w:proofErr w:type="spellStart"/>
      <w:r w:rsidRPr="00925411">
        <w:rPr>
          <w:rFonts w:ascii="Palatino Linotype" w:hAnsi="Palatino Linotype"/>
          <w:b/>
          <w:i/>
          <w:sz w:val="22"/>
          <w:szCs w:val="22"/>
        </w:rPr>
        <w:t>precaucional</w:t>
      </w:r>
      <w:proofErr w:type="spellEnd"/>
      <w:r w:rsidRPr="00925411">
        <w:rPr>
          <w:rFonts w:ascii="Palatino Linotype" w:hAnsi="Palatino Linotype"/>
          <w:b/>
          <w:i/>
          <w:sz w:val="22"/>
          <w:szCs w:val="22"/>
        </w:rPr>
        <w:t xml:space="preserve"> de éstos en el Archivo de Concentración. Para determinar el plazo de conservación </w:t>
      </w:r>
      <w:proofErr w:type="spellStart"/>
      <w:r w:rsidRPr="00925411">
        <w:rPr>
          <w:rFonts w:ascii="Palatino Linotype" w:hAnsi="Palatino Linotype"/>
          <w:b/>
          <w:i/>
          <w:sz w:val="22"/>
          <w:szCs w:val="22"/>
        </w:rPr>
        <w:t>precaucional</w:t>
      </w:r>
      <w:proofErr w:type="spellEnd"/>
      <w:r w:rsidRPr="00925411">
        <w:rPr>
          <w:rFonts w:ascii="Palatino Linotype" w:hAnsi="Palatino Linotype"/>
          <w:b/>
          <w:i/>
          <w:sz w:val="22"/>
          <w:szCs w:val="22"/>
        </w:rPr>
        <w:t xml:space="preserve"> deberán considerar el marco legal o administrativo bajo el cual se produjeron o recibieron los documentos y los siguientes períodos: </w:t>
      </w:r>
    </w:p>
    <w:p w:rsidR="00D15A7F" w:rsidRPr="00D03753" w:rsidRDefault="00D15A7F" w:rsidP="00D03753">
      <w:pPr>
        <w:ind w:left="851" w:right="902"/>
        <w:jc w:val="both"/>
        <w:rPr>
          <w:rFonts w:ascii="Palatino Linotype" w:hAnsi="Palatino Linotype"/>
          <w:i/>
          <w:sz w:val="22"/>
          <w:szCs w:val="22"/>
        </w:rPr>
      </w:pPr>
      <w:r w:rsidRPr="00D03753">
        <w:rPr>
          <w:rFonts w:ascii="Palatino Linotype" w:hAnsi="Palatino Linotype"/>
          <w:i/>
          <w:sz w:val="22"/>
          <w:szCs w:val="22"/>
        </w:rPr>
        <w:t xml:space="preserve">I. 6 años para expedientes con información administrativa; </w:t>
      </w:r>
    </w:p>
    <w:p w:rsidR="00D15A7F" w:rsidRPr="00925411" w:rsidRDefault="00D15A7F" w:rsidP="00D03753">
      <w:pPr>
        <w:ind w:left="851" w:right="902"/>
        <w:jc w:val="both"/>
        <w:rPr>
          <w:rFonts w:ascii="Palatino Linotype" w:hAnsi="Palatino Linotype"/>
          <w:i/>
          <w:sz w:val="22"/>
          <w:szCs w:val="22"/>
        </w:rPr>
      </w:pPr>
      <w:r w:rsidRPr="00925411">
        <w:rPr>
          <w:rFonts w:ascii="Palatino Linotype" w:hAnsi="Palatino Linotype"/>
          <w:i/>
          <w:sz w:val="22"/>
          <w:szCs w:val="22"/>
        </w:rPr>
        <w:t xml:space="preserve">II. 6 años como mínimo para expedientes con información fiscal y presupuestal contable; </w:t>
      </w:r>
    </w:p>
    <w:p w:rsidR="00D15A7F" w:rsidRPr="00925411" w:rsidRDefault="00D15A7F" w:rsidP="00D03753">
      <w:pPr>
        <w:ind w:left="851" w:right="902"/>
        <w:jc w:val="both"/>
        <w:rPr>
          <w:rFonts w:ascii="Palatino Linotype" w:hAnsi="Palatino Linotype"/>
          <w:i/>
          <w:sz w:val="22"/>
          <w:szCs w:val="22"/>
        </w:rPr>
      </w:pPr>
      <w:r w:rsidRPr="00925411">
        <w:rPr>
          <w:rFonts w:ascii="Palatino Linotype" w:hAnsi="Palatino Linotype"/>
          <w:i/>
          <w:sz w:val="22"/>
          <w:szCs w:val="22"/>
        </w:rPr>
        <w:t xml:space="preserve">III. 2 años como mínimo para expedientes con información jurídico-legal, obra pública y activo fijo; y </w:t>
      </w:r>
    </w:p>
    <w:p w:rsidR="00D15A7F" w:rsidRPr="00925411" w:rsidRDefault="00D15A7F" w:rsidP="00D03753">
      <w:pPr>
        <w:ind w:left="851" w:right="902"/>
        <w:jc w:val="both"/>
        <w:rPr>
          <w:rFonts w:ascii="Palatino Linotype" w:hAnsi="Palatino Linotype"/>
          <w:i/>
          <w:sz w:val="22"/>
          <w:szCs w:val="22"/>
        </w:rPr>
      </w:pPr>
      <w:r w:rsidRPr="00925411">
        <w:rPr>
          <w:rFonts w:ascii="Palatino Linotype" w:hAnsi="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r>
        <w:rPr>
          <w:rFonts w:ascii="Palatino Linotype" w:hAnsi="Palatino Linotype"/>
          <w:i/>
          <w:sz w:val="22"/>
          <w:szCs w:val="22"/>
        </w:rPr>
        <w:t>”</w:t>
      </w:r>
    </w:p>
    <w:p w:rsidR="00D15A7F" w:rsidRDefault="00D15A7F" w:rsidP="00D15A7F">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lastRenderedPageBreak/>
        <w:t>Atento a lo anterior, se colige que dicha informac</w:t>
      </w:r>
      <w:r>
        <w:rPr>
          <w:rFonts w:ascii="Palatino Linotype" w:hAnsi="Palatino Linotype" w:cs="Arial"/>
        </w:rPr>
        <w:t>ión no se configura como la que</w:t>
      </w:r>
      <w:r w:rsidRPr="0073286C">
        <w:rPr>
          <w:rFonts w:ascii="Palatino Linotype" w:hAnsi="Palatino Linotype" w:cs="Arial"/>
        </w:rPr>
        <w:t xml:space="preserve"> por deber normativo </w:t>
      </w:r>
      <w:r>
        <w:rPr>
          <w:rFonts w:ascii="Palatino Linotype" w:hAnsi="Palatino Linotype" w:cs="Arial"/>
        </w:rPr>
        <w:t>después de la temporalidad señalada en los Lineamientos en cita deba constar</w:t>
      </w:r>
      <w:r w:rsidRPr="0073286C">
        <w:rPr>
          <w:rFonts w:ascii="Palatino Linotype" w:hAnsi="Palatino Linotype" w:cs="Arial"/>
        </w:rPr>
        <w:t xml:space="preserve"> en los archivos del </w:t>
      </w:r>
      <w:r w:rsidRPr="0073286C">
        <w:rPr>
          <w:rFonts w:ascii="Palatino Linotype" w:hAnsi="Palatino Linotype" w:cs="Arial"/>
          <w:b/>
        </w:rPr>
        <w:t>SUJETO OBLIGADO</w:t>
      </w:r>
      <w:r w:rsidR="00D03753" w:rsidRPr="00D03753">
        <w:rPr>
          <w:rFonts w:ascii="Palatino Linotype" w:hAnsi="Palatino Linotype" w:cs="Arial"/>
        </w:rPr>
        <w:t>;</w:t>
      </w:r>
      <w:r w:rsidRPr="0073286C">
        <w:rPr>
          <w:rFonts w:ascii="Palatino Linotype" w:hAnsi="Palatino Linotype" w:cs="Arial"/>
        </w:rPr>
        <w:t xml:space="preserve"> es decir, que si bien es cierto no existe pronunciamiento ni manifestación expresa </w:t>
      </w:r>
      <w:r>
        <w:rPr>
          <w:rFonts w:ascii="Palatino Linotype" w:hAnsi="Palatino Linotype" w:cs="Arial"/>
        </w:rPr>
        <w:t xml:space="preserve">en la </w:t>
      </w:r>
      <w:r w:rsidRPr="0073286C">
        <w:rPr>
          <w:rFonts w:ascii="Palatino Linotype" w:hAnsi="Palatino Linotype" w:cs="Arial"/>
        </w:rPr>
        <w:t>que niegue contar con la información</w:t>
      </w:r>
      <w:r w:rsidR="00AB53B7">
        <w:rPr>
          <w:rFonts w:ascii="Palatino Linotype" w:hAnsi="Palatino Linotype" w:cs="Arial"/>
        </w:rPr>
        <w:t xml:space="preserve">, lo cierto es que se debió realizar el análisis de </w:t>
      </w:r>
      <w:r w:rsidR="00AB53B7" w:rsidRPr="0042308E">
        <w:rPr>
          <w:rFonts w:ascii="Palatino Linotype" w:hAnsi="Palatino Linotype" w:cs="Arial"/>
        </w:rPr>
        <w:t>los plazos de conservación de</w:t>
      </w:r>
      <w:r w:rsidR="00AB53B7">
        <w:rPr>
          <w:rFonts w:ascii="Palatino Linotype" w:hAnsi="Palatino Linotype" w:cs="Arial"/>
        </w:rPr>
        <w:t xml:space="preserve"> los documentos solicitados en el Archivo. </w:t>
      </w:r>
    </w:p>
    <w:p w:rsidR="005A44BC" w:rsidRDefault="00C922CE" w:rsidP="00E72AE7">
      <w:pPr>
        <w:spacing w:before="100" w:beforeAutospacing="1" w:after="100" w:afterAutospacing="1" w:line="360" w:lineRule="auto"/>
        <w:jc w:val="both"/>
        <w:rPr>
          <w:rFonts w:ascii="Palatino Linotype" w:hAnsi="Palatino Linotype" w:cs="Arial"/>
        </w:rPr>
      </w:pPr>
      <w:r>
        <w:rPr>
          <w:rFonts w:ascii="Palatino Linotype" w:hAnsi="Palatino Linotype" w:cs="Arial"/>
        </w:rPr>
        <w:t>Atento a los argumentos</w:t>
      </w:r>
      <w:r w:rsidR="005A44BC">
        <w:rPr>
          <w:rFonts w:ascii="Palatino Linotype" w:hAnsi="Palatino Linotype" w:cs="Arial"/>
        </w:rPr>
        <w:t xml:space="preserve"> de hecho y de derecho anteriormente expuestos, la que suscribe emite </w:t>
      </w:r>
      <w:r w:rsidR="00590E49" w:rsidRPr="00E14680">
        <w:rPr>
          <w:rFonts w:ascii="Palatino Linotype" w:hAnsi="Palatino Linotype" w:cs="Arial"/>
          <w:b/>
        </w:rPr>
        <w:t>VOTO PARTICULAR</w:t>
      </w:r>
      <w:r w:rsidR="00590E49" w:rsidRPr="00E14680">
        <w:rPr>
          <w:rFonts w:ascii="Palatino Linotype" w:hAnsi="Palatino Linotype" w:cs="Arial"/>
        </w:rPr>
        <w:t xml:space="preserve">, </w:t>
      </w:r>
      <w:r w:rsidR="005A44BC">
        <w:rPr>
          <w:rFonts w:ascii="Palatino Linotype" w:hAnsi="Palatino Linotype" w:cs="Arial"/>
        </w:rPr>
        <w:t xml:space="preserve">puesto que se estima que debieron haberse precisado las consideraciones enunciadas en el presente voto, en atención a los principios que consagra el artículo 9 de la Ley de Transparencia y Acceso a la Información Pública del Estado de México y Municipios. </w:t>
      </w:r>
    </w:p>
    <w:p w:rsidR="009B4C76" w:rsidRDefault="009B4C76" w:rsidP="00E72AE7">
      <w:pPr>
        <w:spacing w:before="100" w:beforeAutospacing="1" w:after="100" w:afterAutospacing="1" w:line="360" w:lineRule="auto"/>
        <w:jc w:val="both"/>
        <w:rPr>
          <w:rFonts w:ascii="Palatino Linotype" w:hAnsi="Palatino Linotype" w:cs="Arial"/>
        </w:rPr>
      </w:pPr>
    </w:p>
    <w:p w:rsidR="007361B1" w:rsidRDefault="007361B1" w:rsidP="00E72AE7">
      <w:pPr>
        <w:spacing w:before="100" w:beforeAutospacing="1" w:after="100" w:afterAutospacing="1" w:line="360" w:lineRule="auto"/>
        <w:jc w:val="both"/>
        <w:rPr>
          <w:rFonts w:ascii="Palatino Linotype" w:hAnsi="Palatino Linotype" w:cs="Arial"/>
        </w:rPr>
      </w:pPr>
    </w:p>
    <w:p w:rsidR="00AB53B7" w:rsidRDefault="00AB53B7" w:rsidP="00E72AE7">
      <w:pPr>
        <w:spacing w:before="100" w:beforeAutospacing="1" w:after="100" w:afterAutospacing="1"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ED622F" w:rsidRPr="009D3429" w:rsidRDefault="00ED622F" w:rsidP="00426B32">
            <w:pPr>
              <w:jc w:val="center"/>
              <w:rPr>
                <w:rFonts w:ascii="Palatino Linotype" w:hAnsi="Palatino Linotype" w:cs="Arial"/>
                <w:b/>
              </w:rPr>
            </w:pPr>
            <w:r w:rsidRPr="009D3429">
              <w:rPr>
                <w:rFonts w:ascii="Palatino Linotype" w:hAnsi="Palatino Linotype" w:cs="Arial"/>
                <w:b/>
              </w:rPr>
              <w:t>EVA ABAID YAPUR</w:t>
            </w:r>
          </w:p>
          <w:p w:rsidR="00ED622F" w:rsidRDefault="00ED622F" w:rsidP="00D933AC">
            <w:pPr>
              <w:jc w:val="center"/>
              <w:rPr>
                <w:rFonts w:ascii="Palatino Linotype" w:hAnsi="Palatino Linotype" w:cs="Arial"/>
                <w:b/>
              </w:rPr>
            </w:pPr>
            <w:r w:rsidRPr="009D3429">
              <w:rPr>
                <w:rFonts w:ascii="Palatino Linotype" w:hAnsi="Palatino Linotype" w:cs="Arial"/>
                <w:b/>
              </w:rPr>
              <w:t>COMISIONADA</w:t>
            </w:r>
          </w:p>
          <w:p w:rsidR="002F6966" w:rsidRPr="009D3429" w:rsidRDefault="002F6966" w:rsidP="00D933AC">
            <w:pPr>
              <w:jc w:val="center"/>
              <w:rPr>
                <w:rFonts w:ascii="Palatino Linotype" w:hAnsi="Palatino Linotype" w:cs="Arial"/>
                <w:b/>
              </w:rPr>
            </w:pPr>
            <w:r>
              <w:rPr>
                <w:rFonts w:ascii="Palatino Linotype" w:hAnsi="Palatino Linotype" w:cs="Arial"/>
                <w:b/>
              </w:rPr>
              <w:t>(RÚBRICA)</w:t>
            </w:r>
            <w:bookmarkStart w:id="0" w:name="_GoBack"/>
            <w:bookmarkEnd w:id="0"/>
          </w:p>
        </w:tc>
      </w:tr>
    </w:tbl>
    <w:p w:rsidR="0042308E" w:rsidRDefault="0042308E" w:rsidP="00426B32">
      <w:pPr>
        <w:jc w:val="both"/>
        <w:rPr>
          <w:rFonts w:ascii="Palatino Linotype" w:eastAsia="Calibri" w:hAnsi="Palatino Linotype" w:cs="Arial"/>
          <w:color w:val="000000" w:themeColor="text1"/>
          <w:sz w:val="20"/>
        </w:rPr>
      </w:pPr>
    </w:p>
    <w:p w:rsidR="00B2492D" w:rsidRDefault="00B2492D" w:rsidP="00426B32">
      <w:pPr>
        <w:jc w:val="both"/>
        <w:rPr>
          <w:rFonts w:ascii="Palatino Linotype" w:eastAsia="Calibri" w:hAnsi="Palatino Linotype" w:cs="Arial"/>
          <w:color w:val="000000" w:themeColor="text1"/>
          <w:sz w:val="20"/>
        </w:rPr>
      </w:pPr>
      <w:r w:rsidRPr="0035687B">
        <w:rPr>
          <w:rFonts w:ascii="Palatino Linotype" w:eastAsia="Calibri" w:hAnsi="Palatino Linotype" w:cs="Arial"/>
          <w:color w:val="000000" w:themeColor="text1"/>
          <w:sz w:val="20"/>
        </w:rPr>
        <w:t xml:space="preserve">Esta hoja corresponde al voto particular emitido en </w:t>
      </w:r>
      <w:r w:rsidR="00CB6BEB">
        <w:rPr>
          <w:rFonts w:ascii="Palatino Linotype" w:eastAsia="Calibri" w:hAnsi="Palatino Linotype" w:cs="Arial"/>
          <w:color w:val="000000" w:themeColor="text1"/>
          <w:sz w:val="20"/>
        </w:rPr>
        <w:t>la resolución d</w:t>
      </w:r>
      <w:r w:rsidRPr="0035687B">
        <w:rPr>
          <w:rFonts w:ascii="Palatino Linotype" w:eastAsia="Calibri" w:hAnsi="Palatino Linotype" w:cs="Arial"/>
          <w:color w:val="000000" w:themeColor="text1"/>
          <w:sz w:val="20"/>
        </w:rPr>
        <w:t>e</w:t>
      </w:r>
      <w:r w:rsidR="009B4C76">
        <w:rPr>
          <w:rFonts w:ascii="Palatino Linotype" w:eastAsia="Calibri" w:hAnsi="Palatino Linotype" w:cs="Arial"/>
          <w:color w:val="000000" w:themeColor="text1"/>
          <w:sz w:val="20"/>
        </w:rPr>
        <w:t xml:space="preserve"> </w:t>
      </w:r>
      <w:r w:rsidRPr="0035687B">
        <w:rPr>
          <w:rFonts w:ascii="Palatino Linotype" w:eastAsia="Calibri" w:hAnsi="Palatino Linotype" w:cs="Arial"/>
          <w:color w:val="000000" w:themeColor="text1"/>
          <w:sz w:val="20"/>
        </w:rPr>
        <w:t>l</w:t>
      </w:r>
      <w:r w:rsidR="009B4C76">
        <w:rPr>
          <w:rFonts w:ascii="Palatino Linotype" w:eastAsia="Calibri" w:hAnsi="Palatino Linotype" w:cs="Arial"/>
          <w:color w:val="000000" w:themeColor="text1"/>
          <w:sz w:val="20"/>
        </w:rPr>
        <w:t>os</w:t>
      </w:r>
      <w:r w:rsidRPr="0035687B">
        <w:rPr>
          <w:rFonts w:ascii="Palatino Linotype" w:eastAsia="Calibri" w:hAnsi="Palatino Linotype" w:cs="Arial"/>
          <w:color w:val="000000" w:themeColor="text1"/>
          <w:sz w:val="20"/>
        </w:rPr>
        <w:t xml:space="preserve"> recurso</w:t>
      </w:r>
      <w:r w:rsidR="009B4C76">
        <w:rPr>
          <w:rFonts w:ascii="Palatino Linotype" w:eastAsia="Calibri" w:hAnsi="Palatino Linotype" w:cs="Arial"/>
          <w:color w:val="000000" w:themeColor="text1"/>
          <w:sz w:val="20"/>
        </w:rPr>
        <w:t>s</w:t>
      </w:r>
      <w:r w:rsidRPr="0035687B">
        <w:rPr>
          <w:rFonts w:ascii="Palatino Linotype" w:eastAsia="Calibri" w:hAnsi="Palatino Linotype" w:cs="Arial"/>
          <w:color w:val="000000" w:themeColor="text1"/>
          <w:sz w:val="20"/>
        </w:rPr>
        <w:t xml:space="preserve"> de revisión </w:t>
      </w:r>
      <w:r w:rsidR="005A44BC">
        <w:rPr>
          <w:rFonts w:ascii="Palatino Linotype" w:eastAsia="Calibri" w:hAnsi="Palatino Linotype" w:cs="Arial"/>
          <w:color w:val="000000" w:themeColor="text1"/>
          <w:sz w:val="20"/>
        </w:rPr>
        <w:t xml:space="preserve">04426/INFOEM/IP/RR/2018 </w:t>
      </w:r>
      <w:r w:rsidR="009B4C76" w:rsidRPr="009B4C76">
        <w:rPr>
          <w:rFonts w:ascii="Palatino Linotype" w:eastAsia="Calibri" w:hAnsi="Palatino Linotype" w:cs="Arial"/>
          <w:color w:val="000000" w:themeColor="text1"/>
          <w:sz w:val="20"/>
        </w:rPr>
        <w:t>y acumulados</w:t>
      </w:r>
      <w:r w:rsidR="007703F0">
        <w:rPr>
          <w:rFonts w:ascii="Palatino Linotype" w:eastAsia="Calibri" w:hAnsi="Palatino Linotype" w:cs="Arial"/>
          <w:color w:val="000000" w:themeColor="text1"/>
          <w:sz w:val="20"/>
        </w:rPr>
        <w:t>, aprobad</w:t>
      </w:r>
      <w:r w:rsidR="004F70DF">
        <w:rPr>
          <w:rFonts w:ascii="Palatino Linotype" w:eastAsia="Calibri" w:hAnsi="Palatino Linotype" w:cs="Arial"/>
          <w:color w:val="000000" w:themeColor="text1"/>
          <w:sz w:val="20"/>
        </w:rPr>
        <w:t>a</w:t>
      </w:r>
      <w:r w:rsidRPr="0035687B">
        <w:rPr>
          <w:rFonts w:ascii="Palatino Linotype" w:eastAsia="Calibri" w:hAnsi="Palatino Linotype" w:cs="Arial"/>
          <w:color w:val="000000" w:themeColor="text1"/>
          <w:sz w:val="20"/>
        </w:rPr>
        <w:t xml:space="preserve"> el </w:t>
      </w:r>
      <w:r w:rsidR="00BC36D9">
        <w:rPr>
          <w:rFonts w:ascii="Palatino Linotype" w:eastAsia="Calibri" w:hAnsi="Palatino Linotype" w:cs="Arial"/>
          <w:color w:val="000000" w:themeColor="text1"/>
          <w:sz w:val="20"/>
        </w:rPr>
        <w:t>t</w:t>
      </w:r>
      <w:r w:rsidR="009B4C76">
        <w:rPr>
          <w:rFonts w:ascii="Palatino Linotype" w:eastAsia="Calibri" w:hAnsi="Palatino Linotype" w:cs="Arial"/>
          <w:color w:val="000000" w:themeColor="text1"/>
          <w:sz w:val="20"/>
        </w:rPr>
        <w:t xml:space="preserve">rece </w:t>
      </w:r>
      <w:r w:rsidR="00BC36D9">
        <w:rPr>
          <w:rFonts w:ascii="Palatino Linotype" w:eastAsia="Calibri" w:hAnsi="Palatino Linotype" w:cs="Arial"/>
          <w:color w:val="000000" w:themeColor="text1"/>
          <w:sz w:val="20"/>
        </w:rPr>
        <w:t xml:space="preserve">de </w:t>
      </w:r>
      <w:r w:rsidR="009B4C76">
        <w:rPr>
          <w:rFonts w:ascii="Palatino Linotype" w:eastAsia="Calibri" w:hAnsi="Palatino Linotype" w:cs="Arial"/>
          <w:color w:val="000000" w:themeColor="text1"/>
          <w:sz w:val="20"/>
        </w:rPr>
        <w:t xml:space="preserve">febrero </w:t>
      </w:r>
      <w:r w:rsidR="00BC36D9">
        <w:rPr>
          <w:rFonts w:ascii="Palatino Linotype" w:eastAsia="Calibri" w:hAnsi="Palatino Linotype" w:cs="Arial"/>
          <w:color w:val="000000" w:themeColor="text1"/>
          <w:sz w:val="20"/>
        </w:rPr>
        <w:t>de dos mil diecinueve</w:t>
      </w:r>
      <w:r w:rsidRPr="0035687B">
        <w:rPr>
          <w:rFonts w:ascii="Palatino Linotype" w:eastAsia="Calibri" w:hAnsi="Palatino Linotype" w:cs="Arial"/>
          <w:color w:val="000000" w:themeColor="text1"/>
          <w:sz w:val="20"/>
        </w:rPr>
        <w:t>.</w:t>
      </w:r>
    </w:p>
    <w:p w:rsidR="00532BA4" w:rsidRPr="00532BA4" w:rsidRDefault="00532BA4" w:rsidP="00426B32">
      <w:pPr>
        <w:jc w:val="both"/>
        <w:rPr>
          <w:rFonts w:ascii="Palatino Linotype" w:eastAsia="Calibri" w:hAnsi="Palatino Linotype" w:cs="Arial"/>
          <w:color w:val="000000" w:themeColor="text1"/>
          <w:sz w:val="8"/>
        </w:rPr>
      </w:pPr>
    </w:p>
    <w:p w:rsidR="00847315" w:rsidRPr="0035687B" w:rsidRDefault="00CB6BEB" w:rsidP="00426B32">
      <w:pPr>
        <w:jc w:val="both"/>
        <w:rPr>
          <w:sz w:val="20"/>
        </w:rPr>
      </w:pPr>
      <w:r>
        <w:rPr>
          <w:rFonts w:ascii="Palatino Linotype" w:eastAsia="Calibri" w:hAnsi="Palatino Linotype" w:cs="Arial"/>
          <w:color w:val="000000" w:themeColor="text1"/>
          <w:sz w:val="20"/>
        </w:rPr>
        <w:t>YSM/IAHA</w:t>
      </w:r>
    </w:p>
    <w:sectPr w:rsidR="00847315" w:rsidRPr="0035687B"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8A" w:rsidRDefault="00EC518A" w:rsidP="00B2492D">
      <w:r>
        <w:separator/>
      </w:r>
    </w:p>
  </w:endnote>
  <w:endnote w:type="continuationSeparator" w:id="0">
    <w:p w:rsidR="00EC518A" w:rsidRDefault="00EC518A"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2F6966" w:rsidP="003056D9">
    <w:pPr>
      <w:pStyle w:val="Piedepgina"/>
      <w:tabs>
        <w:tab w:val="clear" w:pos="4252"/>
        <w:tab w:val="left" w:pos="4228"/>
      </w:tabs>
      <w:rPr>
        <w:rFonts w:ascii="Palatino Linotype" w:hAnsi="Palatino Linotype" w:cs="Arial"/>
        <w:b/>
        <w:bCs/>
        <w:sz w:val="20"/>
        <w:szCs w:val="20"/>
      </w:rPr>
    </w:pPr>
  </w:p>
  <w:p w:rsidR="003056D9" w:rsidRDefault="002F6966" w:rsidP="003056D9">
    <w:pPr>
      <w:pStyle w:val="Piedepgina"/>
      <w:tabs>
        <w:tab w:val="clear" w:pos="4252"/>
        <w:tab w:val="left" w:pos="4228"/>
      </w:tabs>
      <w:rPr>
        <w:rFonts w:ascii="Palatino Linotype" w:hAnsi="Palatino Linotype" w:cs="Arial"/>
        <w:b/>
        <w:bCs/>
        <w:sz w:val="20"/>
        <w:szCs w:val="20"/>
      </w:rPr>
    </w:pPr>
  </w:p>
  <w:p w:rsidR="003056D9" w:rsidRDefault="002F6966" w:rsidP="003056D9">
    <w:pPr>
      <w:pStyle w:val="Piedepgina"/>
      <w:tabs>
        <w:tab w:val="clear" w:pos="4252"/>
        <w:tab w:val="left" w:pos="4228"/>
      </w:tabs>
      <w:rPr>
        <w:rFonts w:ascii="Palatino Linotype" w:hAnsi="Palatino Linotype" w:cs="Arial"/>
        <w:b/>
        <w:bCs/>
        <w:sz w:val="20"/>
        <w:szCs w:val="20"/>
      </w:rPr>
    </w:pPr>
  </w:p>
  <w:p w:rsidR="00455CB3" w:rsidRDefault="002F6966"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6966">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6966">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2F696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8A" w:rsidRDefault="00EC518A" w:rsidP="00B2492D">
      <w:r>
        <w:separator/>
      </w:r>
    </w:p>
  </w:footnote>
  <w:footnote w:type="continuationSeparator" w:id="0">
    <w:p w:rsidR="00EC518A" w:rsidRDefault="00EC518A" w:rsidP="00B2492D">
      <w:r>
        <w:continuationSeparator/>
      </w:r>
    </w:p>
  </w:footnote>
  <w:footnote w:id="1">
    <w:p w:rsidR="0024620C" w:rsidRPr="0024620C" w:rsidRDefault="0024620C" w:rsidP="0024620C">
      <w:pPr>
        <w:pStyle w:val="Textonotapie"/>
        <w:rPr>
          <w:rFonts w:ascii="Palatino Linotype" w:hAnsi="Palatino Linotype"/>
          <w:sz w:val="16"/>
        </w:rPr>
      </w:pPr>
      <w:r>
        <w:rPr>
          <w:rStyle w:val="Refdenotaalpie"/>
        </w:rPr>
        <w:footnoteRef/>
      </w:r>
      <w:r>
        <w:t xml:space="preserve"> “</w:t>
      </w:r>
      <w:r w:rsidRPr="0024620C">
        <w:rPr>
          <w:rFonts w:ascii="Palatino Linotype" w:hAnsi="Palatino Linotype"/>
          <w:sz w:val="16"/>
        </w:rPr>
        <w:t xml:space="preserve">Artículo 73.- Por la expedición de los siguientes documentos se pagarán: </w:t>
      </w:r>
    </w:p>
    <w:p w:rsidR="0024620C" w:rsidRDefault="0024620C" w:rsidP="0024620C">
      <w:pPr>
        <w:pStyle w:val="Textonotapie"/>
        <w:rPr>
          <w:rFonts w:ascii="Palatino Linotype" w:hAnsi="Palatino Linotype"/>
        </w:rPr>
      </w:pPr>
      <w:r w:rsidRPr="0024620C">
        <w:rPr>
          <w:rFonts w:ascii="Palatino Linotype" w:hAnsi="Palatino Linotype"/>
          <w:sz w:val="16"/>
        </w:rPr>
        <w:t>TARIFA CONCEPTO</w:t>
      </w:r>
    </w:p>
    <w:p w:rsidR="0024620C" w:rsidRPr="0024620C" w:rsidRDefault="0024620C" w:rsidP="0024620C">
      <w:pPr>
        <w:pStyle w:val="Textonotapie"/>
        <w:rPr>
          <w:rFonts w:ascii="Palatino Linotype" w:hAnsi="Palatino Linotype"/>
          <w:sz w:val="16"/>
        </w:rPr>
      </w:pPr>
      <w:r w:rsidRPr="0024620C">
        <w:rPr>
          <w:rFonts w:ascii="Palatino Linotype" w:hAnsi="Palatino Linotype"/>
          <w:sz w:val="16"/>
        </w:rPr>
        <w:t>…</w:t>
      </w:r>
    </w:p>
    <w:p w:rsidR="0024620C" w:rsidRDefault="0024620C" w:rsidP="0024620C">
      <w:pPr>
        <w:pStyle w:val="Textonotapie"/>
        <w:rPr>
          <w:rFonts w:ascii="Palatino Linotype" w:hAnsi="Palatino Linotype"/>
        </w:rPr>
      </w:pPr>
      <w:r w:rsidRPr="0024620C">
        <w:rPr>
          <w:rFonts w:ascii="Palatino Linotype" w:hAnsi="Palatino Linotype"/>
          <w:sz w:val="16"/>
        </w:rPr>
        <w:t xml:space="preserve">VI. Por </w:t>
      </w:r>
      <w:r w:rsidRPr="0024620C">
        <w:rPr>
          <w:rFonts w:ascii="Palatino Linotype" w:hAnsi="Palatino Linotype"/>
          <w:b/>
          <w:sz w:val="16"/>
        </w:rPr>
        <w:t xml:space="preserve">el escaneo y digitalización de cada hoja relativa a los documentos que sean entregados por vía electrónica, en medio magnético o disco compacto. $0.60 </w:t>
      </w:r>
      <w:r w:rsidRPr="0024620C">
        <w:rPr>
          <w:rFonts w:ascii="Palatino Linotype" w:hAnsi="Palatino Linotype"/>
          <w:sz w:val="16"/>
        </w:rPr>
        <w:t>Para los supuestos establecidos en las fracciones IV y V, el solicitante podrá, en ejercicio del derecho a la información pública, aportar el medio en el que se requiera le sea proporcionada la información, en cuyo caso no habrá costo que cubrir.”</w:t>
      </w:r>
    </w:p>
    <w:p w:rsidR="0024620C" w:rsidRPr="0024620C" w:rsidRDefault="0024620C" w:rsidP="0024620C">
      <w:pPr>
        <w:pStyle w:val="Textonotapie"/>
        <w:rPr>
          <w:rFonts w:ascii="Palatino Linotype" w:hAnsi="Palatino Linotype"/>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2F696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E46383" w:rsidRDefault="0062438D" w:rsidP="0034309A">
    <w:pPr>
      <w:pStyle w:val="Encabezado"/>
      <w:tabs>
        <w:tab w:val="clear" w:pos="4252"/>
        <w:tab w:val="clear" w:pos="8504"/>
        <w:tab w:val="left" w:pos="2326"/>
      </w:tabs>
      <w:jc w:val="right"/>
    </w:pPr>
    <w:r>
      <w:rPr>
        <w:rFonts w:ascii="Palatino Linotype" w:hAnsi="Palatino Linotype" w:cs="Arial"/>
        <w:sz w:val="20"/>
        <w:szCs w:val="20"/>
      </w:rPr>
      <w:t>VOTO PARTICULAR</w:t>
    </w:r>
  </w:p>
  <w:p w:rsidR="00721024" w:rsidRDefault="0062438D" w:rsidP="0034309A">
    <w:pPr>
      <w:pStyle w:val="Encabezado"/>
      <w:tabs>
        <w:tab w:val="clear" w:pos="4252"/>
        <w:tab w:val="clear" w:pos="8504"/>
        <w:tab w:val="left" w:pos="2326"/>
      </w:tabs>
      <w:jc w:val="right"/>
    </w:pPr>
    <w:r w:rsidRPr="00801C8F">
      <w:rPr>
        <w:rFonts w:ascii="Palatino Linotype" w:hAnsi="Palatino Linotype" w:cs="Arial"/>
        <w:sz w:val="20"/>
        <w:szCs w:val="20"/>
      </w:rPr>
      <w:t>RECURSO</w:t>
    </w:r>
    <w:r>
      <w:rPr>
        <w:rFonts w:ascii="Palatino Linotype" w:hAnsi="Palatino Linotype" w:cs="Arial"/>
        <w:sz w:val="20"/>
        <w:szCs w:val="20"/>
      </w:rPr>
      <w:t>S</w:t>
    </w:r>
    <w:r w:rsidRPr="00801C8F">
      <w:rPr>
        <w:rFonts w:ascii="Palatino Linotype" w:hAnsi="Palatino Linotype" w:cs="Arial"/>
        <w:sz w:val="20"/>
        <w:szCs w:val="20"/>
      </w:rPr>
      <w:t xml:space="preserve"> DE REVISIÓN </w:t>
    </w:r>
    <w:r>
      <w:rPr>
        <w:rFonts w:ascii="Palatino Linotype" w:hAnsi="Palatino Linotype" w:cs="Arial"/>
        <w:sz w:val="20"/>
        <w:szCs w:val="20"/>
      </w:rPr>
      <w:t xml:space="preserve">04426/INFOEM/IP/RR/2018 </w:t>
    </w:r>
    <w:r w:rsidRPr="00AB5EE1">
      <w:rPr>
        <w:rFonts w:ascii="Palatino Linotype" w:hAnsi="Palatino Linotype" w:cs="Arial"/>
        <w:sz w:val="20"/>
        <w:szCs w:val="20"/>
      </w:rPr>
      <w:t>Y</w:t>
    </w:r>
  </w:p>
  <w:p w:rsidR="00721024" w:rsidRPr="00AB5EE1" w:rsidRDefault="0062438D" w:rsidP="0034309A">
    <w:pPr>
      <w:pStyle w:val="Encabezado"/>
      <w:tabs>
        <w:tab w:val="clear" w:pos="4252"/>
        <w:tab w:val="clear" w:pos="8504"/>
        <w:tab w:val="left" w:pos="2326"/>
      </w:tabs>
      <w:jc w:val="right"/>
      <w:rPr>
        <w:rFonts w:ascii="Palatino Linotype" w:hAnsi="Palatino Linotype"/>
        <w:sz w:val="20"/>
        <w:szCs w:val="20"/>
      </w:rPr>
    </w:pPr>
    <w:r w:rsidRPr="00AB5EE1">
      <w:rPr>
        <w:rFonts w:ascii="Palatino Linotype" w:hAnsi="Palatino Linotype"/>
        <w:sz w:val="20"/>
        <w:szCs w:val="20"/>
      </w:rPr>
      <w:t>ACUMULADOS</w:t>
    </w:r>
  </w:p>
  <w:p w:rsidR="004F70DF" w:rsidRPr="00AB5EE1" w:rsidRDefault="004F70DF" w:rsidP="0034309A">
    <w:pPr>
      <w:pStyle w:val="Encabezado"/>
      <w:tabs>
        <w:tab w:val="clear" w:pos="4252"/>
        <w:tab w:val="clear" w:pos="8504"/>
        <w:tab w:val="left" w:pos="2326"/>
      </w:tabs>
      <w:jc w:val="right"/>
      <w:rPr>
        <w:rFonts w:ascii="Palatino Linotype" w:hAnsi="Palatino Linotype"/>
        <w:sz w:val="20"/>
        <w:szCs w:val="20"/>
      </w:rPr>
    </w:pPr>
  </w:p>
  <w:p w:rsidR="00066B13" w:rsidRDefault="002F6966"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96.65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2F696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A7DFB"/>
    <w:multiLevelType w:val="hybridMultilevel"/>
    <w:tmpl w:val="F54CF894"/>
    <w:lvl w:ilvl="0" w:tplc="D706825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07DE6"/>
    <w:rsid w:val="000135AA"/>
    <w:rsid w:val="000275A2"/>
    <w:rsid w:val="0007232F"/>
    <w:rsid w:val="00086CEA"/>
    <w:rsid w:val="000B5646"/>
    <w:rsid w:val="000C1B61"/>
    <w:rsid w:val="000D27FC"/>
    <w:rsid w:val="000F044F"/>
    <w:rsid w:val="00124FC4"/>
    <w:rsid w:val="001301F6"/>
    <w:rsid w:val="00140D79"/>
    <w:rsid w:val="001B2F07"/>
    <w:rsid w:val="001D5562"/>
    <w:rsid w:val="001F01D1"/>
    <w:rsid w:val="00216380"/>
    <w:rsid w:val="002276A7"/>
    <w:rsid w:val="002423F8"/>
    <w:rsid w:val="0024620C"/>
    <w:rsid w:val="00251FF5"/>
    <w:rsid w:val="00284F93"/>
    <w:rsid w:val="00296C85"/>
    <w:rsid w:val="002D3A73"/>
    <w:rsid w:val="002F6966"/>
    <w:rsid w:val="00311E8E"/>
    <w:rsid w:val="00324EBE"/>
    <w:rsid w:val="0035687B"/>
    <w:rsid w:val="003A0C01"/>
    <w:rsid w:val="003C2F6A"/>
    <w:rsid w:val="003F4C4C"/>
    <w:rsid w:val="00411D1F"/>
    <w:rsid w:val="0042308E"/>
    <w:rsid w:val="00426B32"/>
    <w:rsid w:val="0043163F"/>
    <w:rsid w:val="00437359"/>
    <w:rsid w:val="004702C8"/>
    <w:rsid w:val="00472135"/>
    <w:rsid w:val="00472B04"/>
    <w:rsid w:val="004C080C"/>
    <w:rsid w:val="004F06EC"/>
    <w:rsid w:val="004F270D"/>
    <w:rsid w:val="004F468F"/>
    <w:rsid w:val="004F70DF"/>
    <w:rsid w:val="004F77DC"/>
    <w:rsid w:val="0053148C"/>
    <w:rsid w:val="00532BA4"/>
    <w:rsid w:val="00534623"/>
    <w:rsid w:val="0055481B"/>
    <w:rsid w:val="00580868"/>
    <w:rsid w:val="00590E49"/>
    <w:rsid w:val="005A44BC"/>
    <w:rsid w:val="005A4D7F"/>
    <w:rsid w:val="005B5027"/>
    <w:rsid w:val="005B5A8B"/>
    <w:rsid w:val="005C7A02"/>
    <w:rsid w:val="005E5869"/>
    <w:rsid w:val="006071A6"/>
    <w:rsid w:val="00623A83"/>
    <w:rsid w:val="0062438D"/>
    <w:rsid w:val="00654FE9"/>
    <w:rsid w:val="00674B2F"/>
    <w:rsid w:val="006801D4"/>
    <w:rsid w:val="006A1F35"/>
    <w:rsid w:val="006B30CD"/>
    <w:rsid w:val="006D774B"/>
    <w:rsid w:val="0070435B"/>
    <w:rsid w:val="00721024"/>
    <w:rsid w:val="007361B1"/>
    <w:rsid w:val="00742A5A"/>
    <w:rsid w:val="00744194"/>
    <w:rsid w:val="007454C4"/>
    <w:rsid w:val="00764268"/>
    <w:rsid w:val="007703F0"/>
    <w:rsid w:val="00777C87"/>
    <w:rsid w:val="00782EE2"/>
    <w:rsid w:val="007A6603"/>
    <w:rsid w:val="007C26E9"/>
    <w:rsid w:val="007C7A0C"/>
    <w:rsid w:val="007F37BF"/>
    <w:rsid w:val="00807FDD"/>
    <w:rsid w:val="00811B0B"/>
    <w:rsid w:val="00860144"/>
    <w:rsid w:val="00864D3F"/>
    <w:rsid w:val="008A35FA"/>
    <w:rsid w:val="008B0732"/>
    <w:rsid w:val="008B1290"/>
    <w:rsid w:val="008B62C2"/>
    <w:rsid w:val="008C61AC"/>
    <w:rsid w:val="009110E4"/>
    <w:rsid w:val="00913A98"/>
    <w:rsid w:val="009379FA"/>
    <w:rsid w:val="00973992"/>
    <w:rsid w:val="00990B93"/>
    <w:rsid w:val="009B4C76"/>
    <w:rsid w:val="009B7F40"/>
    <w:rsid w:val="009C4594"/>
    <w:rsid w:val="009D3429"/>
    <w:rsid w:val="009D7BAE"/>
    <w:rsid w:val="00A51F16"/>
    <w:rsid w:val="00A65E45"/>
    <w:rsid w:val="00A66F9E"/>
    <w:rsid w:val="00A94EC1"/>
    <w:rsid w:val="00A96975"/>
    <w:rsid w:val="00AA6DEB"/>
    <w:rsid w:val="00AB53B7"/>
    <w:rsid w:val="00AB5EE1"/>
    <w:rsid w:val="00AC0EBE"/>
    <w:rsid w:val="00AD2E93"/>
    <w:rsid w:val="00AE4EC3"/>
    <w:rsid w:val="00B139C4"/>
    <w:rsid w:val="00B2492D"/>
    <w:rsid w:val="00B373C6"/>
    <w:rsid w:val="00B71A4B"/>
    <w:rsid w:val="00B85728"/>
    <w:rsid w:val="00BC36D9"/>
    <w:rsid w:val="00BE5708"/>
    <w:rsid w:val="00BF2A76"/>
    <w:rsid w:val="00C05F00"/>
    <w:rsid w:val="00C108DB"/>
    <w:rsid w:val="00C922CE"/>
    <w:rsid w:val="00C94710"/>
    <w:rsid w:val="00C96B57"/>
    <w:rsid w:val="00CA6DA2"/>
    <w:rsid w:val="00CA758B"/>
    <w:rsid w:val="00CB6BEB"/>
    <w:rsid w:val="00CB7180"/>
    <w:rsid w:val="00CB74D6"/>
    <w:rsid w:val="00CC6B52"/>
    <w:rsid w:val="00CE0D21"/>
    <w:rsid w:val="00CF1343"/>
    <w:rsid w:val="00D03753"/>
    <w:rsid w:val="00D1088D"/>
    <w:rsid w:val="00D15A7F"/>
    <w:rsid w:val="00D44FBB"/>
    <w:rsid w:val="00D724F4"/>
    <w:rsid w:val="00D856F0"/>
    <w:rsid w:val="00D933AC"/>
    <w:rsid w:val="00DA0283"/>
    <w:rsid w:val="00DA22CE"/>
    <w:rsid w:val="00E54183"/>
    <w:rsid w:val="00E5590E"/>
    <w:rsid w:val="00E72AE7"/>
    <w:rsid w:val="00E9168C"/>
    <w:rsid w:val="00EC518A"/>
    <w:rsid w:val="00ED622F"/>
    <w:rsid w:val="00EE5835"/>
    <w:rsid w:val="00F011E4"/>
    <w:rsid w:val="00F367B1"/>
    <w:rsid w:val="00F43C85"/>
    <w:rsid w:val="00F64CC1"/>
    <w:rsid w:val="00F734A6"/>
    <w:rsid w:val="00F92F70"/>
    <w:rsid w:val="00FA0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Sinespaciado">
    <w:name w:val="No Spacing"/>
    <w:aliases w:val="Francesa"/>
    <w:link w:val="SinespaciadoCar"/>
    <w:uiPriority w:val="1"/>
    <w:qFormat/>
    <w:rsid w:val="00590E49"/>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590E49"/>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24620C"/>
    <w:rPr>
      <w:sz w:val="20"/>
      <w:szCs w:val="20"/>
    </w:rPr>
  </w:style>
  <w:style w:type="character" w:customStyle="1" w:styleId="TextonotapieCar">
    <w:name w:val="Texto nota pie Car"/>
    <w:basedOn w:val="Fuentedeprrafopredeter"/>
    <w:link w:val="Textonotapie"/>
    <w:uiPriority w:val="99"/>
    <w:semiHidden/>
    <w:rsid w:val="0024620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246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7C37-5854-489B-B7DE-78590745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2213</Words>
  <Characters>12174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6</cp:revision>
  <cp:lastPrinted>2019-02-05T22:52:00Z</cp:lastPrinted>
  <dcterms:created xsi:type="dcterms:W3CDTF">2019-02-15T16:38:00Z</dcterms:created>
  <dcterms:modified xsi:type="dcterms:W3CDTF">2019-03-14T23:20:00Z</dcterms:modified>
</cp:coreProperties>
</file>